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RDGB-07</w:t>
      </w:r>
    </w:p>
    <w:p>
      <w:pPr>
        <w:pStyle w:val="Title"/>
        <w:spacing w:after="20"/>
      </w:pPr>
      <w:r>
        <w:rPr>
          <w:b w:val="0"/>
          <w:i w:val="0"/>
        </w:rPr>
        <w:t>Renunciation Ripens</w:t>
      </w:r>
    </w:p>
    <w:p>
      <w:pPr>
        <w:pStyle w:val="Subtitle"/>
        <w:spacing w:after="160"/>
      </w:pPr>
      <w:r>
        <w:rPr>
          <w:b w:val="0"/>
          <w:i w:val="0"/>
        </w:rPr>
        <w:t>The wealth that followed him to Purī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tcMar>
              <w:top w:w="80" w:type="dxa"/>
              <w:start w:w="80" w:type="dxa"/>
              <w:bottom w:w="80" w:type="dxa"/>
              <w:end w:w="80" w:type="dxa"/>
            </w:tcMar>
            <w:vAlign w:val="center"/>
            <w:shd w:fill="E9D8DD"/>
          </w:tcPr>
          <w:p>
            <w:r>
              <w:rPr>
                <w:b/>
              </w:rPr>
              <w:t>DRAFT STATUS</w:t>
            </w:r>
          </w:p>
        </w:tc>
        <w:tc>
          <w:tcPr>
            <w:tcW w:type="dxa" w:w="5026"/>
            <w:tcMar>
              <w:top w:w="80" w:type="dxa"/>
              <w:start w:w="80" w:type="dxa"/>
              <w:bottom w:w="80" w:type="dxa"/>
              <w:end w:w="80" w:type="dxa"/>
            </w:tcMar>
            <w:vAlign w:val="center"/>
          </w:tcPr>
          <w:p>
            <w:pPr>
              <w:spacing w:after="0"/>
            </w:pPr>
            <w:r>
              <w:t>Reader-facing Chapter 7 draft. The controlling source is Caitanya-caritāmṛta Antya 6.242–286. This chapter follows Raghunātha’s renunciation through the family-money episode and the shift from Siṁha-dvāra begging to the impartial charity booth. It deliberately stops before Antya 6.287, where Mahāprabhu gives him the Govardhana-śilā and guñjā-mālā.</w:t>
            </w:r>
          </w:p>
        </w:tc>
      </w:tr>
    </w:tbl>
    <w:p/>
    <w:p>
      <w:pPr>
        <w:pStyle w:val="Heading1"/>
        <w:spacing w:after="140"/>
      </w:pPr>
      <w:r>
        <w:rPr>
          <w:b w:val="0"/>
          <w:i w:val="0"/>
        </w:rPr>
        <w:t>Renunciation Ripens</w:t>
      </w:r>
    </w:p>
    <w:p>
      <w:pPr>
        <w:spacing w:after="100"/>
      </w:pPr>
      <w:r>
        <w:rPr>
          <w:b w:val="0"/>
          <w:i w:val="0"/>
        </w:rPr>
        <w:t>The instruction had been given. Raghunātha was to avoid ordinary worldly talk, live simply, take Kṛṣṇa’s name constantly, honor others without seeking honor, and serve Rādhā and Kṛṣṇa in Vraja within the mind. But in Purī those words did not remain a compact set of teachings. They began to work themselves into the details of his life.</w:t>
      </w:r>
    </w:p>
    <w:p>
      <w:pPr>
        <w:spacing w:after="100"/>
      </w:pPr>
      <w:r>
        <w:rPr>
          <w:b w:val="0"/>
          <w:i w:val="0"/>
        </w:rPr>
        <w:t>The first test came from Bengal.</w:t>
      </w:r>
    </w:p>
    <w:p>
      <w:pPr>
        <w:spacing w:after="100"/>
      </w:pPr>
      <w:r>
        <w:rPr>
          <w:b w:val="0"/>
          <w:i w:val="0"/>
        </w:rPr>
        <w:t>When the Bengali devotees arrived in Jagannātha Purī, Raghunātha saw again the great public world of Mahāprabhu’s associates: the cleansing of Guṇḍicā, the garden feast, Ratha-yātrā, Advaita Ācārya’s affection, and the annual gathering of devotees. Śivānanda Sena also told him that his father had sent men after him when he fled, hoping to have him brought home. They had failed.</w:t>
      </w:r>
    </w:p>
    <w:p>
      <w:pPr>
        <w:spacing w:after="100"/>
      </w:pPr>
      <w:r>
        <w:rPr>
          <w:b w:val="0"/>
          <w:i w:val="0"/>
        </w:rPr>
        <w:t>Four months later the Bengali pilgrims returned. Govardhana Majumadāra, still trying to understand what had become of his son, sent a messenger to Śivānanda. The report he received was striking. Raghunātha was not an unknown wanderer on the edge of Purī. He had become well known among Mahāprabhu’s devotees. He lived under Svarūpa Dāmodara, remained near Caitanya, chanted constantly, cared almost nothing for clothing or food, and at night stood at the Siṁha-dvāra for whatever alms happened to come.</w:t>
      </w:r>
    </w:p>
    <w:p>
      <w:pPr>
        <w:spacing w:after="100"/>
      </w:pPr>
      <w:r>
        <w:rPr>
          <w:b w:val="0"/>
          <w:i w:val="0"/>
        </w:rPr>
        <w:t>His parents heard this description not as a triumph but as distress. The household from which Raghunātha had escaped had possessed extraordinary wealth. Now their son sometimes ate, sometimes fasted, and sometimes maintained himself on a little fried grain. So Govardhana sent what a father of his world knew how to send: four hundred coins, two servants and a brāhmaṇa cook.</w:t>
      </w:r>
    </w:p>
    <w:p>
      <w:pPr>
        <w:spacing w:after="100"/>
      </w:pPr>
      <w:r>
        <w:rPr>
          <w:b w:val="0"/>
          <w:i w:val="0"/>
        </w:rPr>
        <w:t>The wealth of Saptagrāma had followed Raghunātha all the way to Purī.</w:t>
      </w:r>
    </w:p>
    <w:p>
      <w:pPr>
        <w:spacing w:after="100"/>
      </w:pPr>
      <w:r>
        <w:rPr>
          <w:b w:val="0"/>
          <w:i w:val="0"/>
        </w:rPr>
        <w:t>It did not immediately reclaim him. When the party eventually reached Jagannātha Purī with Śivānanda Sena, Raghunātha refused both the money and the men as his own support. Yet the severance was not absolute in a single moment. One servant and the brāhmaṇa remained with the funds, and Raghunātha began drawing from that money for a specific purpose: twice each month he invited Śrī Caitanya Mahāprabhu and arranged His meal.</w:t>
      </w:r>
    </w:p>
    <w:p>
      <w:pPr>
        <w:spacing w:after="100"/>
      </w:pPr>
      <w:r>
        <w:rPr>
          <w:b w:val="0"/>
          <w:i w:val="0"/>
        </w:rPr>
        <w:t>That detail matters. Raghunātha did not first abandon family wealth because money itself had become ritually untouchable to him. For two years he could still redirect some of it toward service. His renunciation was becoming more exacting, but it was still being discerned in relationship.</w:t>
      </w:r>
    </w:p>
    <w:p>
      <w:pPr>
        <w:spacing w:after="100"/>
      </w:pPr>
      <w:r>
        <w:rPr>
          <w:b w:val="0"/>
          <w:i w:val="0"/>
        </w:rPr>
        <w:t>Then he stopped the invitations.</w:t>
      </w:r>
    </w:p>
    <w:p>
      <w:pPr>
        <w:spacing w:after="100"/>
      </w:pPr>
      <w:r>
        <w:rPr>
          <w:b w:val="0"/>
          <w:i w:val="0"/>
        </w:rPr>
        <w:t>Mahāprabhu noticed. After two months passed without them, He asked Svarūpa why Raghunātha no longer invited Him. The explanation Svarūpa gave was not that Raghunātha had grown tired of serving. It was that he had begun to examine the source of the arrangement and the subtle reward it gave him. The money came from the world he had renounced; by using it to host Mahāprabhu, he feared that the old network of dependence still entered his devotional life. And he saw another danger: reputation. A splendid invitation could become a way of being known as the person who fed the Lord.</w:t>
      </w:r>
    </w:p>
    <w:p>
      <w:pPr>
        <w:spacing w:after="100"/>
      </w:pPr>
      <w:r>
        <w:rPr>
          <w:b w:val="0"/>
          <w:i w:val="0"/>
        </w:rPr>
        <w:t>Mahāprabhu smiled when He heard the reasoning. He did not command Raghunātha to resume the meals. Instead He affirmed the decision to stop.</w:t>
      </w:r>
    </w:p>
    <w:p>
      <w:pPr>
        <w:spacing w:after="100"/>
      </w:pPr>
      <w:r>
        <w:rPr>
          <w:b w:val="0"/>
          <w:i w:val="0"/>
        </w:rPr>
        <w:t>The movement is easy to miss if Raghunātha’s life is reduced to a collection of spectacular austerities. What was being stripped away was not merely food. It was leverage. Family wealth could still arrange circumstances. It could still place Raghunātha in the position of benefactor. It could still make service visible. By relinquishing it, he relinquished another way of controlling how he stood before Mahāprabhu.</w:t>
      </w:r>
    </w:p>
    <w:p>
      <w:pPr>
        <w:spacing w:after="100"/>
      </w:pPr>
      <w:r>
        <w:rPr>
          <w:b w:val="0"/>
          <w:i w:val="0"/>
        </w:rPr>
        <w:t>Soon another refinement followed.</w:t>
      </w:r>
    </w:p>
    <w:p>
      <w:pPr>
        <w:spacing w:after="100"/>
      </w:pPr>
      <w:r>
        <w:rPr>
          <w:b w:val="0"/>
          <w:i w:val="0"/>
        </w:rPr>
        <w:t>Raghunātha stopped standing at the Siṁha-dvāra.</w:t>
      </w:r>
    </w:p>
    <w:p>
      <w:pPr>
        <w:spacing w:after="100"/>
      </w:pPr>
      <w:r>
        <w:rPr>
          <w:b w:val="0"/>
          <w:i w:val="0"/>
        </w:rPr>
        <w:t>Mahāprabhu again noticed and asked Svarūpa what had changed. Svarūpa explained that Raghunātha had become dissatisfied with the inner life produced by waiting at the gate. Standing there, he could see particular people approach and begin calculating: perhaps this person will give; that person gave yesterday; another passed without giving; someone else may give next.</w:t>
      </w:r>
    </w:p>
    <w:p>
      <w:pPr>
        <w:spacing w:after="100"/>
      </w:pPr>
      <w:r>
        <w:rPr>
          <w:b w:val="0"/>
          <w:i w:val="0"/>
        </w:rPr>
        <w:t>The problem was not that alms were too generous. The problem was expectation.</w:t>
      </w:r>
    </w:p>
    <w:p>
      <w:pPr>
        <w:spacing w:after="100"/>
      </w:pPr>
      <w:r>
        <w:rPr>
          <w:b w:val="0"/>
          <w:i w:val="0"/>
        </w:rPr>
        <w:t>Mahāprabhu approved the change and used deliberately severe language for the psychology of selective waiting. A renunciant who watches particular donors and mentally depends on one person or another has lost neutrality. The external posture may still be begging, but the mind has begun making private contracts with the people walking past.</w:t>
      </w:r>
    </w:p>
    <w:p>
      <w:pPr>
        <w:spacing w:after="100"/>
      </w:pPr>
      <w:r>
        <w:rPr>
          <w:b w:val="0"/>
          <w:i w:val="0"/>
        </w:rPr>
        <w:t>Raghunātha therefore began taking food from the public charity booth, the chatra. There he did not have to cultivate a particular giver. He went at midday, received whatever was distributed, filled the belly enough to continue, and left. Mahāprabhu praised precisely that impersonality: there was less occasion for expectation, bargaining, conversation or social dependence, and therefore more freedom to chant.</w:t>
      </w:r>
    </w:p>
    <w:p>
      <w:pPr>
        <w:spacing w:after="100"/>
      </w:pPr>
      <w:r>
        <w:rPr>
          <w:b w:val="0"/>
          <w:i w:val="0"/>
        </w:rPr>
        <w:t>This was the renunciation Mahāprabhu had once refused to let Raghunātha imitate prematurely.</w:t>
      </w:r>
    </w:p>
    <w:p>
      <w:pPr>
        <w:spacing w:after="100"/>
      </w:pPr>
      <w:r>
        <w:rPr>
          <w:b w:val="0"/>
          <w:i w:val="0"/>
        </w:rPr>
        <w:t>At Śāntipura, while still at home, Raghunātha had been told not to make a show of renunciation. He was to become steady within and behave appropriately without. Years later in Purī, every further reduction took place under the gaze of Mahāprabhu and Svarūpa. First he stopped receiving Govinda’s daily plate. Then he stood at the Siṁha-dvāra. Family money arrived and was refused as maintenance, then partially used in service, then abandoned even for that. Finally, the Siṁha-dvāra itself was judged too entangled with expectation, and he moved to the anonymous charity booth.</w:t>
      </w:r>
    </w:p>
    <w:p>
      <w:pPr>
        <w:spacing w:after="100"/>
      </w:pPr>
      <w:r>
        <w:rPr>
          <w:b w:val="0"/>
          <w:i w:val="0"/>
        </w:rPr>
        <w:t>Nothing here suggests haste. The movement is almost surgical.</w:t>
      </w:r>
    </w:p>
    <w:p>
      <w:pPr>
        <w:spacing w:after="100"/>
      </w:pPr>
      <w:r>
        <w:rPr>
          <w:b w:val="0"/>
          <w:i w:val="0"/>
        </w:rPr>
        <w:t>Raghunātha was learning how little of the old world had to remain between the holy name and his attention.</w:t>
      </w:r>
    </w:p>
    <w:p>
      <w:pPr>
        <w:spacing w:after="100"/>
      </w:pPr>
      <w:r>
        <w:rPr>
          <w:b w:val="0"/>
          <w:i w:val="0"/>
        </w:rPr>
        <w:t>And then, immediately after approving this new simplicity, Mahāprabhu placed Vraja into his hands.</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Bengal devotees arrive; Ratha-yātrā and Advaita’s mercy</w:t>
            </w:r>
          </w:p>
        </w:tc>
        <w:tc>
          <w:tcPr>
            <w:tcW w:type="dxa" w:w="2513"/>
            <w:tcMar>
              <w:top w:w="55" w:type="dxa"/>
              <w:start w:w="60" w:type="dxa"/>
              <w:bottom w:w="55" w:type="dxa"/>
              <w:end w:w="60" w:type="dxa"/>
            </w:tcMar>
          </w:tcPr>
          <w:p>
            <w:r>
              <w:t>CC Antya 6.242–245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Seasonal Purī setting; do not over-expand beyond the root sequence.</w:t>
            </w:r>
          </w:p>
        </w:tc>
      </w:tr>
      <w:tr>
        <w:trPr>
          <w:cantSplit/>
        </w:trPr>
        <w:tc>
          <w:tcPr>
            <w:tcW w:type="dxa" w:w="2513"/>
            <w:tcMar>
              <w:top w:w="55" w:type="dxa"/>
              <w:start w:w="60" w:type="dxa"/>
              <w:bottom w:w="55" w:type="dxa"/>
              <w:end w:w="60" w:type="dxa"/>
            </w:tcMar>
          </w:tcPr>
          <w:p>
            <w:r>
              <w:t>Śivānanda tells Raghunātha about the failed retrieval attempt</w:t>
            </w:r>
          </w:p>
        </w:tc>
        <w:tc>
          <w:tcPr>
            <w:tcW w:type="dxa" w:w="2513"/>
            <w:tcMar>
              <w:top w:w="55" w:type="dxa"/>
              <w:start w:w="60" w:type="dxa"/>
              <w:bottom w:w="55" w:type="dxa"/>
              <w:end w:w="60" w:type="dxa"/>
            </w:tcMar>
          </w:tcPr>
          <w:p>
            <w:r>
              <w:t>6.246–247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Links directly back to the final escape.</w:t>
            </w:r>
          </w:p>
        </w:tc>
      </w:tr>
      <w:tr>
        <w:trPr>
          <w:cantSplit/>
        </w:trPr>
        <w:tc>
          <w:tcPr>
            <w:tcW w:type="dxa" w:w="2513"/>
            <w:tcMar>
              <w:top w:w="55" w:type="dxa"/>
              <w:start w:w="60" w:type="dxa"/>
              <w:bottom w:w="55" w:type="dxa"/>
              <w:end w:w="60" w:type="dxa"/>
            </w:tcMar>
          </w:tcPr>
          <w:p>
            <w:r>
              <w:t>Father receives report of Raghunātha’s renounced life</w:t>
            </w:r>
          </w:p>
        </w:tc>
        <w:tc>
          <w:tcPr>
            <w:tcW w:type="dxa" w:w="2513"/>
            <w:tcMar>
              <w:top w:w="55" w:type="dxa"/>
              <w:start w:w="60" w:type="dxa"/>
              <w:bottom w:w="55" w:type="dxa"/>
              <w:end w:w="60" w:type="dxa"/>
            </w:tcMar>
          </w:tcPr>
          <w:p>
            <w:r>
              <w:t>6.248–258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Report emphasizes Svarūpa, nāma, minimal maintenance, Siṁha-dvāra.</w:t>
            </w:r>
          </w:p>
        </w:tc>
      </w:tr>
      <w:tr>
        <w:trPr>
          <w:cantSplit/>
        </w:trPr>
        <w:tc>
          <w:tcPr>
            <w:tcW w:type="dxa" w:w="2513"/>
            <w:tcMar>
              <w:top w:w="55" w:type="dxa"/>
              <w:start w:w="60" w:type="dxa"/>
              <w:bottom w:w="55" w:type="dxa"/>
              <w:end w:w="60" w:type="dxa"/>
            </w:tcMar>
          </w:tcPr>
          <w:p>
            <w:r>
              <w:t>Four hundred coins, two servants, one brāhmaṇa cook sent</w:t>
            </w:r>
          </w:p>
        </w:tc>
        <w:tc>
          <w:tcPr>
            <w:tcW w:type="dxa" w:w="2513"/>
            <w:tcMar>
              <w:top w:w="55" w:type="dxa"/>
              <w:start w:w="60" w:type="dxa"/>
              <w:bottom w:w="55" w:type="dxa"/>
              <w:end w:w="60" w:type="dxa"/>
            </w:tcMar>
          </w:tcPr>
          <w:p>
            <w:r>
              <w:t>6.259–268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Family care/attachment reaches Purī materially; Raghunātha refuses it as personal support.</w:t>
            </w:r>
          </w:p>
        </w:tc>
      </w:tr>
      <w:tr>
        <w:trPr>
          <w:cantSplit/>
        </w:trPr>
        <w:tc>
          <w:tcPr>
            <w:tcW w:type="dxa" w:w="2513"/>
            <w:tcMar>
              <w:top w:w="55" w:type="dxa"/>
              <w:start w:w="60" w:type="dxa"/>
              <w:bottom w:w="55" w:type="dxa"/>
              <w:end w:w="60" w:type="dxa"/>
            </w:tcMar>
          </w:tcPr>
          <w:p>
            <w:r>
              <w:t>Two monthly invitations funded from family money; stopped after two years</w:t>
            </w:r>
          </w:p>
        </w:tc>
        <w:tc>
          <w:tcPr>
            <w:tcW w:type="dxa" w:w="2513"/>
            <w:tcMar>
              <w:top w:w="55" w:type="dxa"/>
              <w:start w:w="60" w:type="dxa"/>
              <w:bottom w:w="55" w:type="dxa"/>
              <w:end w:w="60" w:type="dxa"/>
            </w:tcMar>
          </w:tcPr>
          <w:p>
            <w:r>
              <w:t>6.269–277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Renunciation is progressive, not instantaneous; reputation and source of support become explicit issues.</w:t>
            </w:r>
          </w:p>
        </w:tc>
      </w:tr>
      <w:tr>
        <w:trPr>
          <w:cantSplit/>
        </w:trPr>
        <w:tc>
          <w:tcPr>
            <w:tcW w:type="dxa" w:w="2513"/>
            <w:tcMar>
              <w:top w:w="55" w:type="dxa"/>
              <w:start w:w="60" w:type="dxa"/>
              <w:bottom w:w="55" w:type="dxa"/>
              <w:end w:w="60" w:type="dxa"/>
            </w:tcMar>
          </w:tcPr>
          <w:p>
            <w:r>
              <w:t>Mahāprabhu approves stopping the invitations</w:t>
            </w:r>
          </w:p>
        </w:tc>
        <w:tc>
          <w:tcPr>
            <w:tcW w:type="dxa" w:w="2513"/>
            <w:tcMar>
              <w:top w:w="55" w:type="dxa"/>
              <w:start w:w="60" w:type="dxa"/>
              <w:bottom w:w="55" w:type="dxa"/>
              <w:end w:w="60" w:type="dxa"/>
            </w:tcMar>
          </w:tcPr>
          <w:p>
            <w:r>
              <w:t>6.278–280</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Keep the instruction in Raghunātha’s renounced context; avoid universalized donor-purity rules.</w:t>
            </w:r>
          </w:p>
        </w:tc>
      </w:tr>
      <w:tr>
        <w:trPr>
          <w:cantSplit/>
        </w:trPr>
        <w:tc>
          <w:tcPr>
            <w:tcW w:type="dxa" w:w="2513"/>
            <w:tcMar>
              <w:top w:w="55" w:type="dxa"/>
              <w:start w:w="60" w:type="dxa"/>
              <w:bottom w:w="55" w:type="dxa"/>
              <w:end w:w="60" w:type="dxa"/>
            </w:tcMar>
          </w:tcPr>
          <w:p>
            <w:r>
              <w:t>Siṁha-dvāra abandoned for the charity booth</w:t>
            </w:r>
          </w:p>
        </w:tc>
        <w:tc>
          <w:tcPr>
            <w:tcW w:type="dxa" w:w="2513"/>
            <w:tcMar>
              <w:top w:w="55" w:type="dxa"/>
              <w:start w:w="60" w:type="dxa"/>
              <w:bottom w:w="55" w:type="dxa"/>
              <w:end w:w="60" w:type="dxa"/>
            </w:tcMar>
          </w:tcPr>
          <w:p>
            <w:r>
              <w:t>6.281–286</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issue is expectation and dependence on particular donors; chatra minimizes calculation.</w:t>
            </w:r>
          </w:p>
        </w:tc>
      </w:tr>
    </w:tbl>
    <w:p/>
    <w:p>
      <w:pPr>
        <w:pStyle w:val="Heading2"/>
        <w:spacing w:after="80"/>
      </w:pPr>
      <w:r>
        <w:rPr>
          <w:b w:val="0"/>
          <w:i w:val="0"/>
        </w:rPr>
        <w:t>2. Key textual anchors</w:t>
      </w:r>
    </w:p>
    <w:p>
      <w:pPr>
        <w:spacing w:after="80"/>
      </w:pPr>
      <w:r>
        <w:rPr>
          <w:b/>
        </w:rPr>
        <w:t xml:space="preserve">CC Antya 6.253–256 — </w:t>
      </w:r>
      <w:r>
        <w:t>Śivānanda’s report describes Raghunātha as constantly chanting, remaining under Mahāprabhu’s shelter, neglecting comfort, and maintaining himself uncertainly at the Siṁha-dvāra.</w:t>
      </w:r>
    </w:p>
    <w:p>
      <w:pPr>
        <w:spacing w:after="80"/>
      </w:pPr>
      <w:r>
        <w:rPr>
          <w:b/>
        </w:rPr>
        <w:t xml:space="preserve">CC Antya 6.259 — </w:t>
      </w:r>
      <w:r>
        <w:t>Govardhana Majumadāra sends four hundred coins, two servants and one brāhmaṇa cook.</w:t>
      </w:r>
    </w:p>
    <w:p>
      <w:pPr>
        <w:spacing w:after="80"/>
      </w:pPr>
      <w:r>
        <w:rPr>
          <w:b/>
        </w:rPr>
        <w:t xml:space="preserve">CC Antya 6.268–271 — </w:t>
      </w:r>
      <w:r>
        <w:t>Raghunātha refuses the party as personal support but draws from the funds to invite Mahāprabhu twice monthly; the practice continues for two years.</w:t>
      </w:r>
    </w:p>
    <w:p>
      <w:pPr>
        <w:spacing w:after="80"/>
      </w:pPr>
      <w:r>
        <w:rPr>
          <w:b/>
        </w:rPr>
        <w:t xml:space="preserve">CC Antya 6.274–280 — </w:t>
      </w:r>
      <w:r>
        <w:t>Svarūpa explains that Raghunātha has rejected the invitations because of the source of the money and the reputation involved. Mahāprabhu approves the decision.</w:t>
      </w:r>
    </w:p>
    <w:p>
      <w:pPr>
        <w:spacing w:after="80"/>
      </w:pPr>
      <w:r>
        <w:rPr>
          <w:b/>
        </w:rPr>
        <w:t xml:space="preserve">CC Antya 6.281–286 — </w:t>
      </w:r>
      <w:r>
        <w:t>Raghunātha moves from the Siṁha-dvāra to the chatra. Mahāprabhu approves because waiting on particular donors produces expectation, while accepting whatever is distributed allows greater freedom for nāma.</w:t>
      </w:r>
    </w:p>
    <w:p>
      <w:pPr>
        <w:pStyle w:val="Heading2"/>
        <w:spacing w:after="80"/>
      </w:pPr>
      <w:r>
        <w:rPr>
          <w:b w:val="0"/>
          <w:i w:val="0"/>
        </w:rPr>
        <w:t>3. Literary and theological controls</w:t>
      </w:r>
    </w:p>
    <w:p>
      <w:pPr>
        <w:spacing w:after="80"/>
        <w:ind w:left="259" w:hanging="173"/>
      </w:pPr>
      <w:r>
        <w:rPr>
          <w:b/>
        </w:rPr>
        <w:t xml:space="preserve">• </w:t>
      </w:r>
      <w:r>
        <w:t>Do not portray the four hundred coins as evidence that Raghunātha returned to dependence on his father. The root text explicitly says he did not accept the money and men as his support; a brāhmaṇa and servant remained, and he later drew only the amount used for Mahāprabhu’s invitations.</w:t>
      </w:r>
    </w:p>
    <w:p>
      <w:pPr>
        <w:spacing w:after="80"/>
        <w:ind w:left="259" w:hanging="173"/>
      </w:pPr>
      <w:r>
        <w:rPr>
          <w:b/>
        </w:rPr>
        <w:t xml:space="preserve">• </w:t>
      </w:r>
      <w:r>
        <w:t>Do not flatten the invitation episode into the slogan 'money from householders is impure.' The root narrative is about Raghunātha’s own renounced discipline, his sense of dependence, the source of the arrangement, and the subtle acquisition of reputation.</w:t>
      </w:r>
    </w:p>
    <w:p>
      <w:pPr>
        <w:spacing w:after="80"/>
        <w:ind w:left="259" w:hanging="173"/>
      </w:pPr>
      <w:r>
        <w:rPr>
          <w:b/>
        </w:rPr>
        <w:t xml:space="preserve">• </w:t>
      </w:r>
      <w:r>
        <w:t>Mahāprabhu’s severe comparison at Antya 6.284–285 concerns the inner calculation produced by waiting on particular donors. The interpretive center is loss of neutrality, not contempt for persons who give charity.</w:t>
      </w:r>
    </w:p>
    <w:p>
      <w:pPr>
        <w:spacing w:after="80"/>
        <w:ind w:left="259" w:hanging="173"/>
      </w:pPr>
      <w:r>
        <w:rPr>
          <w:b/>
        </w:rPr>
        <w:t xml:space="preserve">• </w:t>
      </w:r>
      <w:r>
        <w:t>The chapter should preserve the gradual sequence. Raghunātha’s mature vairāgya is presented as ripening under Mahāprabhu and Svarūpa after the earlier prohibition of premature display at Śāntipura.</w:t>
      </w:r>
    </w:p>
    <w:p>
      <w:pPr>
        <w:spacing w:after="80"/>
        <w:ind w:left="259" w:hanging="173"/>
      </w:pPr>
      <w:r>
        <w:rPr>
          <w:b/>
        </w:rPr>
        <w:t xml:space="preserve">• </w:t>
      </w:r>
      <w:r>
        <w:t>The reader-facing narrative intentionally ends at Antya 6.286. The next verse begins the Govardhana-śilā and guñjā-mālā episode.</w:t>
      </w:r>
    </w:p>
    <w:p>
      <w:pPr>
        <w:pStyle w:val="Heading2"/>
        <w:spacing w:after="80"/>
      </w:pPr>
      <w:r>
        <w:rPr>
          <w:b w:val="0"/>
          <w:i w:val="0"/>
        </w:rPr>
        <w:t>4. Structural correction to the biography sequence</w:t>
      </w:r>
    </w:p>
    <w:p>
      <w:pPr>
        <w:spacing w:after="100"/>
      </w:pPr>
      <w:r>
        <w:rPr>
          <w:b w:val="0"/>
          <w:i w:val="0"/>
        </w:rPr>
        <w:t>The earlier architecture grouped the rejected-rice episode inside “Renunciation Ripens” and then placed “Govardhana in His Hands” afterward. The root order of Caitanya-caritāmṛta is different: the chatra transition (6.281–286) is followed immediately by the gift and worship of the Govardhana-śilā and guñjā-mālā (6.287–308); only afterward does Kṛṣṇadāsa narrate the rejected-rice practice (6.315–325). For a chronological biography, the revised sequence should preserve that order.</w:t>
      </w:r>
    </w:p>
    <w:p>
      <w:pPr>
        <w:pStyle w:val="Heading2"/>
        <w:spacing w:after="80"/>
      </w:pPr>
      <w:r>
        <w:rPr>
          <w:b w:val="0"/>
          <w:i w:val="0"/>
        </w:rPr>
        <w:t>5. Continuity handoff</w:t>
      </w:r>
    </w:p>
    <w:p>
      <w:pPr>
        <w:spacing w:after="100"/>
      </w:pPr>
      <w:r>
        <w:rPr>
          <w:b w:val="0"/>
          <w:i w:val="0"/>
        </w:rPr>
        <w:t>RDGB-08 should be “Govardhana in His Hands”: Śaṅkarānanda Sarasvatī brings the śilā and guñjā-mālā from Vraja; Mahāprabhu cherishes them for three years; He gives them to Raghunātha; Raghunātha worships the śilā with water and tulasī under Svarūpa’s practical guidance; and Raghunātha himself understands the gifts as a place near Govardhana and shelter at Śrī Rādhā’s lotus feet. RDGB-09 should then return to the final Purī renunciation sequence: the rice rejected even by the cows, Svarūpa tasting it, and Mahāprabhu forcibly taking a morsel.</w:t>
      </w:r>
    </w:p>
    <w:p>
      <w:pPr>
        <w:pStyle w:val="Heading2"/>
        <w:spacing w:after="80"/>
      </w:pPr>
      <w:r>
        <w:rPr>
          <w:b w:val="0"/>
          <w:i w:val="0"/>
        </w:rPr>
        <w:t>6. Finalization checklist for RDGB-07</w:t>
      </w:r>
    </w:p>
    <w:p>
      <w:pPr>
        <w:spacing w:after="60"/>
        <w:ind w:left="259" w:hanging="173"/>
      </w:pPr>
      <w:r>
        <w:rPr>
          <w:b/>
        </w:rPr>
        <w:t xml:space="preserve">• </w:t>
      </w:r>
      <w:r>
        <w:t>User prose approval.</w:t>
      </w:r>
    </w:p>
    <w:p>
      <w:pPr>
        <w:spacing w:after="60"/>
        <w:ind w:left="259" w:hanging="173"/>
      </w:pPr>
      <w:r>
        <w:rPr>
          <w:b/>
        </w:rPr>
        <w:t xml:space="preserve">• </w:t>
      </w:r>
      <w:r>
        <w:t>Final root-text check of Antya 6.242–286 against the preferred Bengali witness.</w:t>
      </w:r>
    </w:p>
    <w:p>
      <w:pPr>
        <w:spacing w:after="60"/>
        <w:ind w:left="259" w:hanging="173"/>
      </w:pPr>
      <w:r>
        <w:rPr>
          <w:b/>
        </w:rPr>
        <w:t xml:space="preserve">• </w:t>
      </w:r>
      <w:r>
        <w:t>Confirm the translation/handling of chatra and preserve the distinction between a public distribution booth and personalized alms.</w:t>
      </w:r>
    </w:p>
    <w:p>
      <w:pPr>
        <w:spacing w:after="60"/>
        <w:ind w:left="259" w:hanging="173"/>
      </w:pPr>
      <w:r>
        <w:rPr>
          <w:b/>
        </w:rPr>
        <w:t xml:space="preserve">• </w:t>
      </w:r>
      <w:r>
        <w:t>Keep monetary figures in their textual form; do not convert the four hundred coins or 640 kauḍis into speculative modern values.</w:t>
      </w:r>
    </w:p>
    <w:p>
      <w:pPr>
        <w:spacing w:after="60"/>
        <w:ind w:left="259" w:hanging="173"/>
      </w:pPr>
      <w:r>
        <w:rPr>
          <w:b/>
        </w:rPr>
        <w:t xml:space="preserve">• </w:t>
      </w:r>
      <w:r>
        <w:t>Continuity audit with RDGB-08 so the Govardhana-śilā is not prematurely summarized here.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RDGB-07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