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RDGB-15</w:t>
      </w:r>
    </w:p>
    <w:p>
      <w:pPr>
        <w:pStyle w:val="Title"/>
        <w:spacing w:after="20"/>
      </w:pPr>
      <w:r>
        <w:rPr>
          <w:b w:val="0"/>
          <w:i w:val="0"/>
        </w:rPr>
        <w:t>The Poet of Longing</w:t>
      </w:r>
    </w:p>
    <w:p>
      <w:pPr>
        <w:pStyle w:val="Subtitle"/>
        <w:spacing w:after="160"/>
      </w:pPr>
      <w:r>
        <w:rPr>
          <w:b w:val="0"/>
          <w:i w:val="0"/>
        </w:rPr>
        <w:t>What Raghunātha’s own writings reveal</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15 draft. This is not a complete literary catalogue or commentary. It uses a small selection of Raghunātha’s own works to correct a one-dimensional portrait of him as merely an extreme ascetic. The emphasis is autobiographical and devotional: Gaurāṅga, Svarūpa, Rūpa and Sanātana, self-instruction, Govardhana, Rādhā-kuṇḍa, Rādhā-dāsya, viraha, and the playful līlā world of Muktā-carita and Dāna-keli-cintāmaṇi.</w:t>
            </w:r>
          </w:p>
        </w:tc>
      </w:tr>
    </w:tbl>
    <w:p/>
    <w:p>
      <w:pPr>
        <w:pStyle w:val="Heading1"/>
        <w:spacing w:after="140"/>
      </w:pPr>
      <w:r>
        <w:rPr>
          <w:b w:val="0"/>
          <w:i w:val="0"/>
        </w:rPr>
        <w:t>The Poet of Longing</w:t>
      </w:r>
    </w:p>
    <w:p>
      <w:pPr>
        <w:spacing w:after="100"/>
      </w:pPr>
      <w:r>
        <w:rPr>
          <w:b w:val="0"/>
          <w:i w:val="0"/>
        </w:rPr>
        <w:t>If Raghunātha dāsa is remembered only for torn cloth, little food, thousands of obeisances and almost no sleep, then half of the man disappears.</w:t>
      </w:r>
    </w:p>
    <w:p>
      <w:pPr>
        <w:spacing w:after="100"/>
      </w:pPr>
      <w:r>
        <w:rPr>
          <w:b w:val="0"/>
          <w:i w:val="0"/>
        </w:rPr>
        <w:t>His writings restore the missing half.</w:t>
      </w:r>
    </w:p>
    <w:p>
      <w:pPr>
        <w:spacing w:after="100"/>
      </w:pPr>
      <w:r>
        <w:rPr>
          <w:b w:val="0"/>
          <w:i w:val="0"/>
        </w:rPr>
        <w:t>The same person who reduced his bodily needs almost to nothing wrote with extraordinary density about relationship, place, memory, longing, humor, beauty and service. His vairāgya was severe, but his literary world was not empty. It was crowded with persons he loved: Caitanya-candra, Svarūpa Dāmodara, Rūpa, Sanātana, Govardhana, Rādhā-kuṇḍa, the sakhīs and mañjarīs, and above all Śrī Rādhā.</w:t>
      </w:r>
    </w:p>
    <w:p>
      <w:pPr>
        <w:spacing w:after="100"/>
      </w:pPr>
      <w:r>
        <w:rPr>
          <w:b w:val="0"/>
          <w:i w:val="0"/>
        </w:rPr>
        <w:t>For biography, these poems matter because they let Raghunātha speak in the first person.</w:t>
      </w:r>
    </w:p>
    <w:p>
      <w:pPr>
        <w:pStyle w:val="Heading2"/>
        <w:spacing w:after="100"/>
      </w:pPr>
      <w:r>
        <w:rPr>
          <w:b w:val="0"/>
          <w:i w:val="0"/>
        </w:rPr>
        <w:t>Gaurāṅga remembered as the one who gave him everything</w:t>
      </w:r>
    </w:p>
    <w:p>
      <w:pPr>
        <w:spacing w:after="100"/>
      </w:pPr>
      <w:r>
        <w:rPr>
          <w:b w:val="0"/>
          <w:i w:val="0"/>
        </w:rPr>
        <w:t>In Gaurāṅga-stava-kalpavṛkṣa, Raghunātha does not remember Mahāprabhu abstractly. He remembers what the Lord did to him.</w:t>
      </w:r>
    </w:p>
    <w:p>
      <w:pPr>
        <w:spacing w:after="100"/>
      </w:pPr>
      <w:r>
        <w:rPr>
          <w:b w:val="0"/>
          <w:i w:val="0"/>
        </w:rPr>
        <w:t>One verse gathers almost the whole earlier biography into four lines:</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pPr>
      <w:r>
        <w:rPr>
          <w:b w:val="0"/>
          <w:i w:val="0"/>
        </w:rPr>
        <w:t>The verse is devotional poetry, but it is also autobiographical memory. Wealth is remembered as danger; Svarūpa as the person into whose care Mahāprabhu personally placed him; and the guñjā-mālā and Govardhana-śilā as gifts whose meaning continued into his Vraja life.</w:t>
      </w:r>
    </w:p>
    <w:p>
      <w:pPr>
        <w:spacing w:after="100"/>
      </w:pPr>
      <w:r>
        <w:rPr>
          <w:b w:val="0"/>
          <w:i w:val="0"/>
        </w:rPr>
        <w:t>The mature Raghunātha therefore did not outgrow Caitanya. His Rādhā-kuṇḍa life remained explicitly Gaurāṅga-given.</w:t>
      </w:r>
    </w:p>
    <w:p>
      <w:pPr>
        <w:pStyle w:val="Heading2"/>
        <w:spacing w:after="100"/>
      </w:pPr>
      <w:r>
        <w:rPr>
          <w:b w:val="0"/>
          <w:i w:val="0"/>
        </w:rPr>
        <w:t>Manaḥ-śikṣā: the ascetic instructs his own mind</w:t>
      </w:r>
    </w:p>
    <w:p>
      <w:pPr>
        <w:spacing w:after="100"/>
      </w:pPr>
      <w:r>
        <w:rPr>
          <w:b w:val="0"/>
          <w:i w:val="0"/>
        </w:rPr>
        <w:t>Manaḥ-śikṣā is often read as a compact manual of inner practice. Biographically, its striking feature is the speaker’s tone. Raghunātha does not address an audience from above. He begs and disciplines his own mind.</w:t>
      </w:r>
    </w:p>
    <w:p>
      <w:pPr>
        <w:keepNext/>
        <w:keepLines/>
        <w:spacing w:after="40"/>
        <w:ind w:left="504" w:right="216"/>
      </w:pPr>
      <w:r>
        <w:rPr>
          <w:i/>
        </w:rPr>
        <w:t>gurau goṣṭhe goṣṭhālayiṣu sujane bhū-sura-gaṇe</w:t>
        <w:br/>
      </w:r>
      <w:r>
        <w:rPr>
          <w:i/>
        </w:rPr>
        <w:t>sva-mantre śrī-nāmni vraja-nava-yuva-dvandva-smaraṇe |</w:t>
        <w:br/>
      </w:r>
      <w:r>
        <w:rPr>
          <w:i/>
        </w:rPr>
        <w:t>sadā dambhaṁ hitvā kuru ratim apūrvām atitarāṁ</w:t>
        <w:br/>
      </w:r>
      <w:r>
        <w:rPr>
          <w:i/>
        </w:rPr>
        <w:t>aye svāntar bhrātaś caṭubhir abhiyāce dhṛta-padaḥ ||1||</w:t>
        <w:br/>
      </w:r>
    </w:p>
    <w:p>
      <w:pPr>
        <w:keepLines/>
        <w:spacing w:after="140"/>
        <w:ind w:left="504" w:right="216"/>
      </w:pPr>
      <w:r>
        <w:rPr>
          <w:i/>
        </w:rPr>
        <w:t>“O my brother mind, grasping your feet I flatter and implore you: abandon pride and develop extraordinary, ever-deepening love for guru, Vraja, the residents and servants of Vraja, the brāhmaṇas, your mantra, the holy name, and remembrance of the youthful Divine Couple.”</w:t>
      </w:r>
    </w:p>
    <w:p>
      <w:pPr>
        <w:spacing w:after="100"/>
      </w:pPr>
      <w:r>
        <w:rPr>
          <w:b w:val="0"/>
          <w:i w:val="0"/>
        </w:rPr>
        <w:t>The first enemy named is dambha — pride, pretension, self-display. That matters in the life of a man whose austerities later became famous. His own instruction does not say, “Become known for renunciation.” It says: abandon pride and cultivate attachment to persons, places and practices of devotion.</w:t>
      </w:r>
    </w:p>
    <w:p>
      <w:pPr>
        <w:spacing w:after="100"/>
      </w:pPr>
      <w:r>
        <w:rPr>
          <w:b w:val="0"/>
          <w:i w:val="0"/>
        </w:rPr>
        <w:t>The same work later tells his mind that if it desires residence in Vraja and direct service to the youthful Couple, it must constantly remember Svarūpa, Śrī Rūpa, Rūpa’s associates and his elder brother Sanātana. The inward path remains relational.</w:t>
      </w:r>
    </w:p>
    <w:p>
      <w:pPr>
        <w:spacing w:after="100"/>
      </w:pPr>
      <w:r>
        <w:rPr>
          <w:b w:val="0"/>
          <w:i w:val="0"/>
        </w:rPr>
        <w:t>This is one of the clearest ways to understand Raghunātha’s vairāgya. Renunciation clears space. It is not the final content of the space.</w:t>
      </w:r>
    </w:p>
    <w:p>
      <w:pPr>
        <w:pStyle w:val="Heading2"/>
        <w:spacing w:after="100"/>
      </w:pPr>
      <w:r>
        <w:rPr>
          <w:b w:val="0"/>
          <w:i w:val="0"/>
        </w:rPr>
        <w:t>Vilāpa-kusumāñjali: the servant who cannot live without her Mistress</w:t>
      </w:r>
    </w:p>
    <w:p>
      <w:pPr>
        <w:spacing w:after="100"/>
      </w:pPr>
      <w:r>
        <w:rPr>
          <w:b w:val="0"/>
          <w:i w:val="0"/>
        </w:rPr>
        <w:t>No work reveals Raghunātha’s inner devotional voice more powerfully than Vilāpa-kusumāñjali.</w:t>
      </w:r>
    </w:p>
    <w:p>
      <w:pPr>
        <w:spacing w:after="100"/>
      </w:pPr>
      <w:r>
        <w:rPr>
          <w:b w:val="0"/>
          <w:i w:val="0"/>
        </w:rPr>
        <w:t>It opens not with Raghunātha presenting himself as a great renunciant, scholar or elder, but by addressing Rūpa Mañjarī. The poem then unfolds in the voice of a dāsī burning in separation from her Mistress.</w:t>
      </w:r>
    </w:p>
    <w:p>
      <w:pPr>
        <w:keepNext/>
        <w:keepLines/>
        <w:spacing w:after="40"/>
        <w:ind w:left="504" w:right="216"/>
      </w:pPr>
      <w:r>
        <w:rPr>
          <w:i/>
        </w:rPr>
        <w:t>atyutkaṭena nitarāṁ virahānalena</w:t>
        <w:br/>
      </w:r>
      <w:r>
        <w:rPr>
          <w:i/>
        </w:rPr>
        <w:t>dandahyamāna-hṛdayā kila kāpi dāsī |</w:t>
        <w:br/>
      </w:r>
      <w:r>
        <w:rPr>
          <w:i/>
        </w:rPr>
        <w:t>hā svāmini kṣaṇam iha praṇayena gāḍham</w:t>
        <w:br/>
      </w:r>
      <w:r>
        <w:rPr>
          <w:i/>
        </w:rPr>
        <w:t>ākrandanena vidhurā vilapāmi padyaiḥ ||7||</w:t>
        <w:br/>
      </w:r>
    </w:p>
    <w:p>
      <w:pPr>
        <w:keepLines/>
        <w:spacing w:after="140"/>
        <w:ind w:left="504" w:right="216"/>
      </w:pPr>
      <w:r>
        <w:rPr>
          <w:i/>
        </w:rPr>
        <w:t>“A certain maidservant, her heart intensely scorched by the blazing fire of separation, cries out: ‘O my Mistress!’ Overwhelmed, I lament here in verses, calling to You with deep love.”</w:t>
      </w:r>
    </w:p>
    <w:p>
      <w:pPr>
        <w:spacing w:after="100"/>
      </w:pPr>
      <w:r>
        <w:rPr>
          <w:b w:val="0"/>
          <w:i w:val="0"/>
        </w:rPr>
        <w:t>That self-positioning is essential. Raghunātha’s late theology is not merely that Rādhā is exalted. It is that he seeks identity through service to Her.</w:t>
      </w:r>
    </w:p>
    <w:p>
      <w:pPr>
        <w:spacing w:after="100"/>
      </w:pPr>
      <w:r>
        <w:rPr>
          <w:b w:val="0"/>
          <w:i w:val="0"/>
        </w:rPr>
        <w:t>The longing becomes almost unbearable near the end of the work:</w:t>
      </w:r>
    </w:p>
    <w:p>
      <w:pPr>
        <w:keepNext/>
        <w:keepLines/>
        <w:spacing w:after="40"/>
        <w:ind w:left="504" w:right="216"/>
      </w:pPr>
      <w:r>
        <w:rPr>
          <w:i/>
        </w:rPr>
        <w:t>āśā-bharair amṛta-sindhu-mayaiḥ kathañcit</w:t>
        <w:br/>
      </w:r>
      <w:r>
        <w:rPr>
          <w:i/>
        </w:rPr>
        <w:t>kālo mayātigamitaḥ kila sāmprataṁ hi |</w:t>
        <w:br/>
      </w:r>
      <w:r>
        <w:rPr>
          <w:i/>
        </w:rPr>
        <w:t>tvaṁ cet kṛpāṁ mayi vidhāsyasi naiva kiṁ me</w:t>
        <w:br/>
      </w:r>
      <w:r>
        <w:rPr>
          <w:i/>
        </w:rPr>
        <w:t>prāṇair vrajena ca varoru bakāriṇāpi ||102||</w:t>
        <w:br/>
      </w:r>
    </w:p>
    <w:p>
      <w:pPr>
        <w:keepLines/>
        <w:spacing w:after="140"/>
        <w:ind w:left="504" w:right="216"/>
      </w:pPr>
      <w:r>
        <w:rPr>
          <w:i/>
        </w:rPr>
        <w:t>“Until now I have somehow passed the time sustained by hopes filled with an ocean of nectar. But if You will not bestow Your mercy upon me, O beautiful-thighed one, then what use to me are life itself, Vraja, or even Kṛṣṇa?”</w:t>
      </w:r>
    </w:p>
    <w:p>
      <w:pPr>
        <w:spacing w:after="100"/>
      </w:pPr>
      <w:r>
        <w:rPr>
          <w:b w:val="0"/>
          <w:i w:val="0"/>
        </w:rPr>
        <w:t>Read in isolation, such language can sound like negation. Inside the poem, however, its center is positive and specific: the desired mercy is service to Rādhā. Even Vraja and Kṛṣṇa are valued through that axis of service.</w:t>
      </w:r>
    </w:p>
    <w:p>
      <w:pPr>
        <w:spacing w:after="100"/>
      </w:pPr>
      <w:r>
        <w:rPr>
          <w:b w:val="0"/>
          <w:i w:val="0"/>
        </w:rPr>
        <w:t>This is the literary heart behind the biographical phrase Rādhā-dāsya.</w:t>
      </w:r>
    </w:p>
    <w:p>
      <w:pPr>
        <w:pStyle w:val="Heading2"/>
        <w:spacing w:after="100"/>
      </w:pPr>
      <w:r>
        <w:rPr>
          <w:b w:val="0"/>
          <w:i w:val="0"/>
        </w:rPr>
        <w:t>Govardhana and Rādhā-kuṇḍa: longing becomes geography</w:t>
      </w:r>
    </w:p>
    <w:p>
      <w:pPr>
        <w:spacing w:after="100"/>
      </w:pPr>
      <w:r>
        <w:rPr>
          <w:b w:val="0"/>
          <w:i w:val="0"/>
        </w:rPr>
        <w:t>Raghunātha’s place-prayers make the same inner orientation geographical.</w:t>
      </w:r>
    </w:p>
    <w:p>
      <w:pPr>
        <w:spacing w:after="100"/>
      </w:pPr>
      <w:r>
        <w:rPr>
          <w:b w:val="0"/>
          <w:i w:val="0"/>
        </w:rPr>
        <w:t>To Govardhana he repeats a single request: nija-nikaṭa-nivāsaṁ dehi govardhana tvam — “O Govardhana, grant me residence near you.” In the tenth verse he explicitly says that Śacīnandana, without considering his fitness, has entrusted him to Govardhana.</w:t>
      </w:r>
    </w:p>
    <w:p>
      <w:pPr>
        <w:spacing w:after="100"/>
      </w:pPr>
      <w:r>
        <w:rPr>
          <w:b w:val="0"/>
          <w:i w:val="0"/>
        </w:rPr>
        <w:t>At Rādhā-kuṇḍa the refrain narrows further: rādhā-kuṇḍam evāśrayo me — “Rādhā-kuṇḍa alone is my shelter.” The fifth verse names the desired flower of that shelter as mad-īśā-dāsya, service to “my Mistress.”</w:t>
      </w:r>
    </w:p>
    <w:p>
      <w:pPr>
        <w:spacing w:after="100"/>
      </w:pPr>
      <w:r>
        <w:rPr>
          <w:b w:val="0"/>
          <w:i w:val="0"/>
        </w:rPr>
        <w:t>These themes have already been developed in the biography’s residence chapter. Here they matter for a different reason: the places around which Raghunātha physically organized his final decades are the same places around which his poetry organizes desire.</w:t>
      </w:r>
    </w:p>
    <w:p>
      <w:pPr>
        <w:spacing w:after="100"/>
      </w:pPr>
      <w:r>
        <w:rPr>
          <w:b w:val="0"/>
          <w:i w:val="0"/>
        </w:rPr>
        <w:t>The outer map and the inner map coincide.</w:t>
      </w:r>
    </w:p>
    <w:p>
      <w:pPr>
        <w:pStyle w:val="Heading2"/>
        <w:spacing w:after="100"/>
      </w:pPr>
      <w:r>
        <w:rPr>
          <w:b w:val="0"/>
          <w:i w:val="0"/>
        </w:rPr>
        <w:t>Not only lament: the poet of play</w:t>
      </w:r>
    </w:p>
    <w:p>
      <w:pPr>
        <w:spacing w:after="100"/>
      </w:pPr>
      <w:r>
        <w:rPr>
          <w:b w:val="0"/>
          <w:i w:val="0"/>
        </w:rPr>
        <w:t>Raghunātha’s literary personality would still be distorted if we stopped with viraha.</w:t>
      </w:r>
    </w:p>
    <w:p>
      <w:pPr>
        <w:spacing w:after="100"/>
      </w:pPr>
      <w:r>
        <w:rPr>
          <w:b w:val="0"/>
          <w:i w:val="0"/>
        </w:rPr>
        <w:t>He also wrote extended līlā literature filled with wit and social play.</w:t>
      </w:r>
    </w:p>
    <w:p>
      <w:pPr>
        <w:spacing w:after="100"/>
      </w:pPr>
      <w:r>
        <w:rPr>
          <w:b w:val="0"/>
          <w:i w:val="0"/>
        </w:rPr>
        <w:t>Bhakti-ratnākara remembers three principal works of Dāsa Gosvāmī: his collection of stotras, known as Stavāvalī, a dāna-carita, and Muktā-carita. The dāna work is identified in the later published tradition as Dāna-keli-cintāmaṇi.</w:t>
      </w:r>
    </w:p>
    <w:p>
      <w:pPr>
        <w:spacing w:after="100"/>
      </w:pPr>
      <w:r>
        <w:rPr>
          <w:b w:val="0"/>
          <w:i w:val="0"/>
        </w:rPr>
        <w:t>Dāna-keli-cintāmaṇi develops the familiar toll pastime at Govardhana: Kṛṣṇa and His friends obstruct Rādhā and the gopīs and demand a tax. The poem is built from clever argument, teasing, resistance, glances and verbal combat. Its opening explicitly places the work under the mercy of Rūpa Gosvāmī.</w:t>
      </w:r>
    </w:p>
    <w:p>
      <w:pPr>
        <w:spacing w:after="100"/>
      </w:pPr>
      <w:r>
        <w:rPr>
          <w:b w:val="0"/>
          <w:i w:val="0"/>
        </w:rPr>
        <w:t>Muktā-carita turns to the pearl pastime. Kṛṣṇa asks the gopīs for pearls, plants pearls of His own, produces a miraculous pearl crop and draws Rādhā and Her companions into an escalating exchange. The work is playful, dramatic and socially textured.</w:t>
      </w:r>
    </w:p>
    <w:p>
      <w:pPr>
        <w:spacing w:after="100"/>
      </w:pPr>
      <w:r>
        <w:rPr>
          <w:b w:val="0"/>
          <w:i w:val="0"/>
        </w:rPr>
        <w:t>These are not marginal curiosities beside the “serious” Raghunātha. They show what his renunciation made room for: sustained imaginative absorption in Rādhā-Kṛṣṇa līlā.</w:t>
      </w:r>
    </w:p>
    <w:p>
      <w:pPr>
        <w:spacing w:after="100"/>
      </w:pPr>
      <w:r>
        <w:rPr>
          <w:b w:val="0"/>
          <w:i w:val="0"/>
        </w:rPr>
        <w:t>The early pilgrimage tradition even uses his literature as a guide to landscape. Bhakti-ratnākara has Rāghava Paṇḍita point out Mālyahāri-kuṇḍa to Śrīnivāsa and direct him to Raghunātha’s Muktā-carita for the corresponding pearl pastime.</w:t>
      </w:r>
    </w:p>
    <w:p>
      <w:pPr>
        <w:spacing w:after="100"/>
      </w:pPr>
      <w:r>
        <w:rPr>
          <w:b w:val="0"/>
          <w:i w:val="0"/>
        </w:rPr>
        <w:t>The poet had become a way of seeing Vraja.</w:t>
      </w:r>
    </w:p>
    <w:p>
      <w:pPr>
        <w:pStyle w:val="Heading2"/>
        <w:spacing w:after="100"/>
      </w:pPr>
      <w:r>
        <w:rPr>
          <w:b w:val="0"/>
          <w:i w:val="0"/>
        </w:rPr>
        <w:t>The shape of the man behind the poems</w:t>
      </w:r>
    </w:p>
    <w:p>
      <w:pPr>
        <w:spacing w:after="100"/>
      </w:pPr>
      <w:r>
        <w:rPr>
          <w:b w:val="0"/>
          <w:i w:val="0"/>
        </w:rPr>
        <w:t>Taken together, Raghunātha’s writings resist every simple description of him.</w:t>
      </w:r>
    </w:p>
    <w:p>
      <w:pPr>
        <w:spacing w:after="100"/>
      </w:pPr>
      <w:r>
        <w:rPr>
          <w:b w:val="0"/>
          <w:i w:val="0"/>
        </w:rPr>
        <w:t>He is the rescued heir who remembers wealth as a forest fire. He is the disciple who never ceases to name Svarūpa. He is the follower who binds his mind to Rūpa and Sanātana. He is the ascetic who begs his own mind to abandon pride. He is the resident of Govardhana and Rādhā-kuṇḍa who asks not merely to stay in a holy place, but to enter a world of service. He is the dāsī crying for Rādhā. And he is the poet who can still delight in the jokes, quarrels, tolls and pearl gardens of the Divine Couple.</w:t>
      </w:r>
    </w:p>
    <w:p>
      <w:pPr>
        <w:spacing w:after="100"/>
      </w:pPr>
      <w:r>
        <w:rPr>
          <w:b w:val="0"/>
          <w:i w:val="0"/>
        </w:rPr>
        <w:t>His austerity is therefore best understood from the inside out.</w:t>
      </w:r>
    </w:p>
    <w:p>
      <w:pPr>
        <w:spacing w:after="100"/>
      </w:pPr>
      <w:r>
        <w:rPr>
          <w:b w:val="0"/>
          <w:i w:val="0"/>
        </w:rPr>
        <w:t>He did not empty his life because emptiness was holy.</w:t>
      </w:r>
    </w:p>
    <w:p>
      <w:pPr>
        <w:spacing w:after="100"/>
      </w:pPr>
      <w:r>
        <w:rPr>
          <w:b w:val="0"/>
          <w:i w:val="0"/>
        </w:rPr>
        <w:t>He emptied it because, in his poetry, something else had become overwhelmingly full.</w:t>
      </w:r>
    </w:p>
    <w:p>
      <w:pPr>
        <w:pStyle w:val="Heading1"/>
        <w:spacing w:after="120"/>
      </w:pPr>
      <w:r>
        <w:rPr>
          <w:b w:val="0"/>
          <w:i w:val="0"/>
        </w:rPr>
        <w:t>INTERNAL CONTROL APPARATUS • WORKING DRAFT</w:t>
      </w:r>
    </w:p>
    <w:p>
      <w:pPr>
        <w:pStyle w:val="Heading2"/>
        <w:spacing w:after="80"/>
      </w:pPr>
      <w:r>
        <w:rPr>
          <w:b w:val="0"/>
          <w:i w:val="0"/>
        </w:rPr>
        <w:t>1. Literary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Literary/biographical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Mahāprabhu rescues him from great wealth, places him with Svarūpa, gives guñjā-mālā and Govardhana-śilā</w:t>
            </w:r>
          </w:p>
        </w:tc>
        <w:tc>
          <w:tcPr>
            <w:tcW w:type="dxa" w:w="2513"/>
            <w:tcMar>
              <w:top w:w="55" w:type="dxa"/>
              <w:start w:w="60" w:type="dxa"/>
              <w:bottom w:w="55" w:type="dxa"/>
              <w:end w:w="60" w:type="dxa"/>
            </w:tcMar>
          </w:tcPr>
          <w:p>
            <w:r>
              <w:t>Gaurāṅga-stava-kalpavṛkṣa 11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Autobiographical devotional memory; major bridge between life narrative and poetry.</w:t>
            </w:r>
          </w:p>
        </w:tc>
      </w:tr>
      <w:tr>
        <w:trPr>
          <w:cantSplit/>
        </w:trPr>
        <w:tc>
          <w:tcPr>
            <w:tcW w:type="dxa" w:w="2513"/>
            <w:tcMar>
              <w:top w:w="55" w:type="dxa"/>
              <w:start w:w="60" w:type="dxa"/>
              <w:bottom w:w="55" w:type="dxa"/>
              <w:end w:w="60" w:type="dxa"/>
            </w:tcMar>
          </w:tcPr>
          <w:p>
            <w:r>
              <w:t>Self-instruction to abandon pride and cultivate love for guru, Vraja, nāma, mantra and yugala-smaraṇa</w:t>
            </w:r>
          </w:p>
        </w:tc>
        <w:tc>
          <w:tcPr>
            <w:tcW w:type="dxa" w:w="2513"/>
            <w:tcMar>
              <w:top w:w="55" w:type="dxa"/>
              <w:start w:w="60" w:type="dxa"/>
              <w:bottom w:w="55" w:type="dxa"/>
              <w:end w:w="60" w:type="dxa"/>
            </w:tcMar>
          </w:tcPr>
          <w:p>
            <w:r>
              <w:t>Manaḥ-śikṣā 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Corrects an austerity-centered portrait; inner discipline is relational and devotional.</w:t>
            </w:r>
          </w:p>
        </w:tc>
      </w:tr>
      <w:tr>
        <w:trPr>
          <w:cantSplit/>
        </w:trPr>
        <w:tc>
          <w:tcPr>
            <w:tcW w:type="dxa" w:w="2513"/>
            <w:tcMar>
              <w:top w:w="55" w:type="dxa"/>
              <w:start w:w="60" w:type="dxa"/>
              <w:bottom w:w="55" w:type="dxa"/>
              <w:end w:w="60" w:type="dxa"/>
            </w:tcMar>
          </w:tcPr>
          <w:p>
            <w:r>
              <w:t>Remember Svarūpa, Rūpa, associates and Sanātana for Vraja residence/service</w:t>
            </w:r>
          </w:p>
        </w:tc>
        <w:tc>
          <w:tcPr>
            <w:tcW w:type="dxa" w:w="2513"/>
            <w:tcMar>
              <w:top w:w="55" w:type="dxa"/>
              <w:start w:w="60" w:type="dxa"/>
              <w:bottom w:w="55" w:type="dxa"/>
              <w:end w:w="60" w:type="dxa"/>
            </w:tcMar>
          </w:tcPr>
          <w:p>
            <w:r>
              <w:t>Manaḥ-śikṣā 3</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Purī and Vraja lineages remain integrated in his own sādhana map.</w:t>
            </w:r>
          </w:p>
        </w:tc>
      </w:tr>
      <w:tr>
        <w:trPr>
          <w:cantSplit/>
        </w:trPr>
        <w:tc>
          <w:tcPr>
            <w:tcW w:type="dxa" w:w="2513"/>
            <w:tcMar>
              <w:top w:w="55" w:type="dxa"/>
              <w:start w:w="60" w:type="dxa"/>
              <w:bottom w:w="55" w:type="dxa"/>
              <w:end w:w="60" w:type="dxa"/>
            </w:tcMar>
          </w:tcPr>
          <w:p>
            <w:r>
              <w:t>Dāsī voice burning in separation from her Mistress</w:t>
            </w:r>
          </w:p>
        </w:tc>
        <w:tc>
          <w:tcPr>
            <w:tcW w:type="dxa" w:w="2513"/>
            <w:tcMar>
              <w:top w:w="55" w:type="dxa"/>
              <w:start w:w="60" w:type="dxa"/>
              <w:bottom w:w="55" w:type="dxa"/>
              <w:end w:w="60" w:type="dxa"/>
            </w:tcMar>
          </w:tcPr>
          <w:p>
            <w:r>
              <w:t>Vilāpa-kusumāñjali 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Primary literary witness for the affective center of Rādhā-dāsya.</w:t>
            </w:r>
          </w:p>
        </w:tc>
      </w:tr>
      <w:tr>
        <w:trPr>
          <w:cantSplit/>
        </w:trPr>
        <w:tc>
          <w:tcPr>
            <w:tcW w:type="dxa" w:w="2513"/>
            <w:tcMar>
              <w:top w:w="55" w:type="dxa"/>
              <w:start w:w="60" w:type="dxa"/>
              <w:bottom w:w="55" w:type="dxa"/>
              <w:end w:w="60" w:type="dxa"/>
            </w:tcMar>
          </w:tcPr>
          <w:p>
            <w:r>
              <w:t>If Rādhā’s mercy does not come, life, Vraja and even Kṛṣṇa have no meaning for the speaker</w:t>
            </w:r>
          </w:p>
        </w:tc>
        <w:tc>
          <w:tcPr>
            <w:tcW w:type="dxa" w:w="2513"/>
            <w:tcMar>
              <w:top w:w="55" w:type="dxa"/>
              <w:start w:w="60" w:type="dxa"/>
              <w:bottom w:w="55" w:type="dxa"/>
              <w:end w:w="60" w:type="dxa"/>
            </w:tcMar>
          </w:tcPr>
          <w:p>
            <w:r>
              <w:t>Vilāpa-kusumāñjali 102</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Extreme viraha language; interpret within poetic theology of Rādhā-dāsya, not as biographical self-harm evidence.</w:t>
            </w:r>
          </w:p>
        </w:tc>
      </w:tr>
      <w:tr>
        <w:trPr>
          <w:cantSplit/>
        </w:trPr>
        <w:tc>
          <w:tcPr>
            <w:tcW w:type="dxa" w:w="2513"/>
            <w:tcMar>
              <w:top w:w="55" w:type="dxa"/>
              <w:start w:w="60" w:type="dxa"/>
              <w:bottom w:w="55" w:type="dxa"/>
              <w:end w:w="60" w:type="dxa"/>
            </w:tcMar>
          </w:tcPr>
          <w:p>
            <w:r>
              <w:t>Repeated petition for residence near Govardhana</w:t>
            </w:r>
          </w:p>
        </w:tc>
        <w:tc>
          <w:tcPr>
            <w:tcW w:type="dxa" w:w="2513"/>
            <w:tcMar>
              <w:top w:w="55" w:type="dxa"/>
              <w:start w:w="60" w:type="dxa"/>
              <w:bottom w:w="55" w:type="dxa"/>
              <w:end w:w="60" w:type="dxa"/>
            </w:tcMar>
          </w:tcPr>
          <w:p>
            <w:r>
              <w:t>Govardhana-vāsa-prārthanā-daśaka 1–10</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Place as devotional relationship; already treated fully in RDGB-13.</w:t>
            </w:r>
          </w:p>
        </w:tc>
      </w:tr>
      <w:tr>
        <w:trPr>
          <w:cantSplit/>
        </w:trPr>
        <w:tc>
          <w:tcPr>
            <w:tcW w:type="dxa" w:w="2513"/>
            <w:tcMar>
              <w:top w:w="55" w:type="dxa"/>
              <w:start w:w="60" w:type="dxa"/>
              <w:bottom w:w="55" w:type="dxa"/>
              <w:end w:w="60" w:type="dxa"/>
            </w:tcMar>
          </w:tcPr>
          <w:p>
            <w:r>
              <w:t>Rādhā-kuṇḍa alone as shelter; mad-īśā-dāsya</w:t>
            </w:r>
          </w:p>
        </w:tc>
        <w:tc>
          <w:tcPr>
            <w:tcW w:type="dxa" w:w="2513"/>
            <w:tcMar>
              <w:top w:w="55" w:type="dxa"/>
              <w:start w:w="60" w:type="dxa"/>
              <w:bottom w:w="55" w:type="dxa"/>
              <w:end w:w="60" w:type="dxa"/>
            </w:tcMar>
          </w:tcPr>
          <w:p>
            <w:r>
              <w:t>Rādhā-kuṇḍāṣṭaka 1–8, esp. 5</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Rādhā-kuṇḍa as service environment, not simply tīrtha merit.</w:t>
            </w:r>
          </w:p>
        </w:tc>
      </w:tr>
      <w:tr>
        <w:trPr>
          <w:cantSplit/>
        </w:trPr>
        <w:tc>
          <w:tcPr>
            <w:tcW w:type="dxa" w:w="2513"/>
            <w:tcMar>
              <w:top w:w="55" w:type="dxa"/>
              <w:start w:w="60" w:type="dxa"/>
              <w:bottom w:w="55" w:type="dxa"/>
              <w:end w:w="60" w:type="dxa"/>
            </w:tcMar>
          </w:tcPr>
          <w:p>
            <w:r>
              <w:t>Three principal works remembered: Stavāvalī, dāna-carita, Muktā-carita</w:t>
            </w:r>
          </w:p>
        </w:tc>
        <w:tc>
          <w:tcPr>
            <w:tcW w:type="dxa" w:w="2513"/>
            <w:tcMar>
              <w:top w:w="55" w:type="dxa"/>
              <w:start w:w="60" w:type="dxa"/>
              <w:bottom w:w="55" w:type="dxa"/>
              <w:end w:w="60" w:type="dxa"/>
            </w:tcMar>
          </w:tcPr>
          <w:p>
            <w:r>
              <w:t>Bhakti-ratnākara 1.830–832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reception witness to literary corpus; published dāna work is known as Dāna-keli-cintāmaṇi.</w:t>
            </w:r>
          </w:p>
        </w:tc>
      </w:tr>
      <w:tr>
        <w:trPr>
          <w:cantSplit/>
        </w:trPr>
        <w:tc>
          <w:tcPr>
            <w:tcW w:type="dxa" w:w="2513"/>
            <w:tcMar>
              <w:top w:w="55" w:type="dxa"/>
              <w:start w:w="60" w:type="dxa"/>
              <w:bottom w:w="55" w:type="dxa"/>
              <w:end w:w="60" w:type="dxa"/>
            </w:tcMar>
          </w:tcPr>
          <w:p>
            <w:r>
              <w:t>Muktā-carita used to interpret Mālyahāri-kuṇḍa on pilgrimage</w:t>
            </w:r>
          </w:p>
        </w:tc>
        <w:tc>
          <w:tcPr>
            <w:tcW w:type="dxa" w:w="2513"/>
            <w:tcMar>
              <w:top w:w="55" w:type="dxa"/>
              <w:start w:w="60" w:type="dxa"/>
              <w:bottom w:w="55" w:type="dxa"/>
              <w:end w:w="60" w:type="dxa"/>
            </w:tcMar>
          </w:tcPr>
          <w:p>
            <w:r>
              <w:t>Bhakti-ratnākara 5.585–586</w:t>
            </w:r>
          </w:p>
        </w:tc>
        <w:tc>
          <w:tcPr>
            <w:tcW w:type="dxa" w:w="2513"/>
            <w:tcMar>
              <w:top w:w="55" w:type="dxa"/>
              <w:start w:w="60" w:type="dxa"/>
              <w:bottom w:w="55" w:type="dxa"/>
              <w:end w:w="60" w:type="dxa"/>
            </w:tcMar>
          </w:tcPr>
          <w:p>
            <w:r>
              <w:t>B → A1 text</w:t>
            </w:r>
          </w:p>
        </w:tc>
        <w:tc>
          <w:tcPr>
            <w:tcW w:type="dxa" w:w="2513"/>
            <w:tcMar>
              <w:top w:w="55" w:type="dxa"/>
              <w:start w:w="60" w:type="dxa"/>
              <w:bottom w:w="55" w:type="dxa"/>
              <w:end w:w="60" w:type="dxa"/>
            </w:tcMar>
          </w:tcPr>
          <w:p>
            <w:r>
              <w:t>Shows Raghunātha’s literature functioning as a guide to sacred landscape.</w:t>
            </w:r>
          </w:p>
        </w:tc>
      </w:tr>
    </w:tbl>
    <w:p/>
    <w:p>
      <w:pPr>
        <w:pStyle w:val="Heading2"/>
        <w:spacing w:after="80"/>
      </w:pPr>
      <w:r>
        <w:rPr>
          <w:b w:val="0"/>
          <w:i w:val="0"/>
        </w:rPr>
        <w:t>2. Works and title control</w:t>
      </w:r>
    </w:p>
    <w:p>
      <w:pPr>
        <w:spacing w:after="80"/>
        <w:ind w:left="259" w:hanging="173"/>
      </w:pPr>
      <w:r>
        <w:rPr>
          <w:b/>
        </w:rPr>
        <w:t xml:space="preserve">• </w:t>
      </w:r>
      <w:r>
        <w:t>Stavāvalī is a collection containing many distinct hymns and prayers; do not describe every constituent poem as a separate independently transmitted book without bibliographic qualification.</w:t>
      </w:r>
    </w:p>
    <w:p>
      <w:pPr>
        <w:spacing w:after="80"/>
        <w:ind w:left="259" w:hanging="173"/>
      </w:pPr>
      <w:r>
        <w:rPr>
          <w:b/>
        </w:rPr>
        <w:t xml:space="preserve">• </w:t>
      </w:r>
      <w:r>
        <w:t>Bhakti-ratnākara 1.830–832 names three principal Raghunātha works in its literary inventory: Stavāvalī/Stava-mālā, a dāna-carita, and Muktā-carita.</w:t>
      </w:r>
    </w:p>
    <w:p>
      <w:pPr>
        <w:spacing w:after="80"/>
        <w:ind w:left="259" w:hanging="173"/>
      </w:pPr>
      <w:r>
        <w:rPr>
          <w:b/>
        </w:rPr>
        <w:t xml:space="preserve">• </w:t>
      </w:r>
      <w:r>
        <w:t>The title Dāna-keli-cintāmaṇi is well established in the later manuscript/printed tradition and modern catalogues; retain the note that the early Bhakti-ratnākara inventory uses the shorter dāna-carita form.</w:t>
      </w:r>
    </w:p>
    <w:p>
      <w:pPr>
        <w:spacing w:after="80"/>
        <w:ind w:left="259" w:hanging="173"/>
      </w:pPr>
      <w:r>
        <w:rPr>
          <w:b/>
        </w:rPr>
        <w:t xml:space="preserve">• </w:t>
      </w:r>
      <w:r>
        <w:t>Do not infer composition dates for these works unless a colophon or secure external source is recovered. Relative literary influence—especially Rūpa’s importance—may be discussed where the text itself acknowledges him.</w:t>
      </w:r>
    </w:p>
    <w:p>
      <w:pPr>
        <w:spacing w:after="80"/>
        <w:ind w:left="259" w:hanging="173"/>
      </w:pPr>
      <w:r>
        <w:rPr>
          <w:b/>
        </w:rPr>
        <w:t xml:space="preserve">• </w:t>
      </w:r>
      <w:r>
        <w:t>Muktā-carita and Dāna-keli-cintāmaṇi are used here to reveal literary range, not to retell their full līlās.</w:t>
      </w:r>
    </w:p>
    <w:p>
      <w:pPr>
        <w:pStyle w:val="Heading2"/>
        <w:spacing w:after="80"/>
      </w:pPr>
      <w:r>
        <w:rPr>
          <w:b w:val="0"/>
          <w:i w:val="0"/>
        </w:rPr>
        <w:t>3. Interpretive controls</w:t>
      </w:r>
    </w:p>
    <w:p>
      <w:pPr>
        <w:spacing w:after="80"/>
        <w:ind w:left="259" w:hanging="173"/>
      </w:pPr>
      <w:r>
        <w:rPr>
          <w:b/>
        </w:rPr>
        <w:t xml:space="preserve">• </w:t>
      </w:r>
      <w:r>
        <w:t>Do not reduce Raghunātha to “the most renounced Gosvāmī.” His own texts are saturated with positive relationship, memory, place and service.</w:t>
      </w:r>
    </w:p>
    <w:p>
      <w:pPr>
        <w:spacing w:after="80"/>
        <w:ind w:left="259" w:hanging="173"/>
      </w:pPr>
      <w:r>
        <w:rPr>
          <w:b/>
        </w:rPr>
        <w:t xml:space="preserve">• </w:t>
      </w:r>
      <w:r>
        <w:t>Do not psychologize first-person devotional poetry as simple modern autobiography. A1 here means self-authored witness to devotional self-presentation and theological orientation, not a diary of ordinary mental states.</w:t>
      </w:r>
    </w:p>
    <w:p>
      <w:pPr>
        <w:spacing w:after="80"/>
        <w:ind w:left="259" w:hanging="173"/>
      </w:pPr>
      <w:r>
        <w:rPr>
          <w:b/>
        </w:rPr>
        <w:t xml:space="preserve">• </w:t>
      </w:r>
      <w:r>
        <w:t>Vilāpa-kusumāñjali’s language of life being useless without Rādhā’s mercy belongs to the rhetoric of viraha and Rādhā-dāsya. It must not be used to infer a later suicide plan beyond the separately attested Govardhana episode already treated in RDGB-11/12.</w:t>
      </w:r>
    </w:p>
    <w:p>
      <w:pPr>
        <w:spacing w:after="80"/>
        <w:ind w:left="259" w:hanging="173"/>
      </w:pPr>
      <w:r>
        <w:rPr>
          <w:b/>
        </w:rPr>
        <w:t xml:space="preserve">• </w:t>
      </w:r>
      <w:r>
        <w:t>Keep the chapter literary-biographical. Detailed rasa analysis, mañjarī identity, and complete commentary on individual stotras belong in specialist appendices or separate studies.</w:t>
      </w:r>
    </w:p>
    <w:p>
      <w:pPr>
        <w:spacing w:after="80"/>
        <w:ind w:left="259" w:hanging="173"/>
      </w:pPr>
      <w:r>
        <w:rPr>
          <w:b/>
        </w:rPr>
        <w:t xml:space="preserve">• </w:t>
      </w:r>
      <w:r>
        <w:t>The strongest synthesis is positive: vairāgya is the outer clearing; sevā, remembrance and longing are the inner content.</w:t>
      </w:r>
    </w:p>
    <w:p>
      <w:pPr>
        <w:pStyle w:val="Heading2"/>
        <w:spacing w:after="80"/>
      </w:pPr>
      <w:r>
        <w:rPr>
          <w:b w:val="0"/>
          <w:i w:val="0"/>
        </w:rPr>
        <w:t>4. Continuity handoff to RDGB-16</w:t>
      </w:r>
    </w:p>
    <w:p>
      <w:pPr>
        <w:spacing w:after="100"/>
      </w:pPr>
      <w:r>
        <w:rPr>
          <w:b w:val="0"/>
          <w:i w:val="0"/>
        </w:rPr>
        <w:t>RDGB-16 should shift from the texts back to the living elder at Rādhā-kuṇḍa. It should show how Kṛṣṇadāsa Kavirāja, Śrīnivāsa, Narottama, Rāmacandra Kavirāja, Jāhnavā and other Vaiṣṇavas encounter Raghunātha, seek his permission or mercy, and participate in the community around him. Keep each visitor episode brief; the biographical focus is Raghunātha’s authority, affection, weakness in old age, and role as a bridge between Mahāprabhu’s generation and the next.</w:t>
      </w:r>
    </w:p>
    <w:p>
      <w:pPr>
        <w:pStyle w:val="Heading2"/>
        <w:spacing w:after="80"/>
      </w:pPr>
      <w:r>
        <w:rPr>
          <w:b w:val="0"/>
          <w:i w:val="0"/>
        </w:rPr>
        <w:t>5. Finalization checklist for RDGB-15</w:t>
      </w:r>
    </w:p>
    <w:p>
      <w:pPr>
        <w:spacing w:after="80"/>
        <w:ind w:left="259" w:hanging="173"/>
      </w:pPr>
      <w:r>
        <w:rPr>
          <w:b/>
        </w:rPr>
        <w:t xml:space="preserve">• </w:t>
      </w:r>
      <w:r>
        <w:t>User prose approval.</w:t>
      </w:r>
    </w:p>
    <w:p>
      <w:pPr>
        <w:spacing w:after="80"/>
        <w:ind w:left="259" w:hanging="173"/>
      </w:pPr>
      <w:r>
        <w:rPr>
          <w:b/>
        </w:rPr>
        <w:t xml:space="preserve">• </w:t>
      </w:r>
      <w:r>
        <w:t>Final Sanskrit check of Gaurāṅga-stava-kalpavṛkṣa 11, Manaḥ-śikṣā 1 and 3, Vilāpa-kusumāñjali 7 and 102 against the preferred Stavāvalī witness.</w:t>
      </w:r>
    </w:p>
    <w:p>
      <w:pPr>
        <w:spacing w:after="80"/>
        <w:ind w:left="259" w:hanging="173"/>
      </w:pPr>
      <w:r>
        <w:rPr>
          <w:b/>
        </w:rPr>
        <w:t xml:space="preserve">• </w:t>
      </w:r>
      <w:r>
        <w:t>Verify the preferred critical/bibliographic title treatment for Dāna-keli-cintāmaṇi before final publication.</w:t>
      </w:r>
    </w:p>
    <w:p>
      <w:pPr>
        <w:spacing w:after="80"/>
        <w:ind w:left="259" w:hanging="173"/>
      </w:pPr>
      <w:r>
        <w:rPr>
          <w:b/>
        </w:rPr>
        <w:t xml:space="preserve">• </w:t>
      </w:r>
      <w:r>
        <w:t>Keep Govardhana/Rādhā-kuṇḍa place theology concise because RDGB-13 and the main Rādhā-kuṇḍa Story already carry the detail.</w:t>
      </w:r>
    </w:p>
    <w:p>
      <w:pPr>
        <w:spacing w:after="80"/>
        <w:ind w:left="259" w:hanging="173"/>
      </w:pPr>
      <w:r>
        <w:rPr>
          <w:b/>
        </w:rPr>
        <w:t xml:space="preserve">• </w:t>
      </w:r>
      <w:r>
        <w:t>Do not expand Muktā-carita or Dāna-keli-cintāmaṇi into standalone līlā summaries inside the biography.</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RDGB-15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