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rPr>
        <w:t>GOVARDHANA PILGRIMAGE</w:t>
      </w:r>
    </w:p>
    <w:p>
      <w:pPr>
        <w:spacing w:after="20"/>
      </w:pPr>
      <w:r>
        <w:rPr>
          <w:b w:val="0"/>
          <w:i w:val="0"/>
        </w:rPr>
        <w:t>Raghunātha dāsa Gosvāmī — A Scholarly-Devotional Biography</w:t>
      </w:r>
    </w:p>
    <w:p>
      <w:pPr>
        <w:spacing w:after="60"/>
      </w:pPr>
      <w:r>
        <w:rPr>
          <w:b/>
          <w:i w:val="0"/>
        </w:rPr>
        <w:t>RDGB-16</w:t>
      </w:r>
    </w:p>
    <w:p>
      <w:pPr>
        <w:pStyle w:val="Title"/>
        <w:spacing w:after="20"/>
      </w:pPr>
      <w:r>
        <w:rPr>
          <w:b w:val="0"/>
          <w:i w:val="0"/>
        </w:rPr>
        <w:t>The Elder at Rādhā-kuṇḍa</w:t>
      </w:r>
    </w:p>
    <w:p>
      <w:pPr>
        <w:pStyle w:val="Subtitle"/>
        <w:spacing w:after="160"/>
      </w:pPr>
      <w:r>
        <w:rPr>
          <w:b w:val="0"/>
          <w:i w:val="0"/>
        </w:rPr>
        <w:t>The next generation comes to him</w:t>
      </w:r>
    </w:p>
    <w:tbl>
      <w:tblPr>
        <w:tblW w:type="auto" w:w="0"/>
        <w:jc w:val="center"/>
        <w:tblLayout w:type="fixed"/>
        <w:tblLook w:firstColumn="1" w:firstRow="1" w:lastColumn="0" w:lastRow="0" w:noHBand="0" w:noVBand="1" w:val="04A0"/>
      </w:tblPr>
      <w:tblGrid>
        <w:gridCol w:w="1656"/>
        <w:gridCol w:w="8496"/>
      </w:tblGrid>
      <w:tr>
        <w:trPr>
          <w:cantSplit/>
        </w:trPr>
        <w:tc>
          <w:tcPr>
            <w:tcW w:type="dxa" w:w="5026"/>
            <w:shd w:fill="E9D8DD"/>
            <w:tcMar>
              <w:top w:w="70" w:type="dxa"/>
              <w:start w:w="70" w:type="dxa"/>
              <w:bottom w:w="70" w:type="dxa"/>
              <w:end w:w="70" w:type="dxa"/>
            </w:tcMar>
            <w:vAlign w:val="center"/>
          </w:tcPr>
          <w:p>
            <w:r>
              <w:rPr>
                <w:b/>
              </w:rPr>
              <w:t>DRAFT STATUS</w:t>
            </w:r>
          </w:p>
        </w:tc>
        <w:tc>
          <w:tcPr>
            <w:tcW w:type="dxa" w:w="5026"/>
            <w:tcMar>
              <w:top w:w="70" w:type="dxa"/>
              <w:start w:w="70" w:type="dxa"/>
              <w:bottom w:w="70" w:type="dxa"/>
              <w:end w:w="70" w:type="dxa"/>
            </w:tcMar>
            <w:vAlign w:val="center"/>
          </w:tcPr>
          <w:p>
            <w:r>
              <w:t>Reader-facing Chapter 16 draft. This chapter treats Raghunātha’s mature authority at Rādhā-kuṇḍa without retelling the full pilgrimages of Śrīnivāsa, Narottama, Rāmacandra Kavirāja or Jāhnavā Īśvarī. The focus is Raghunātha as elder, transmitter, source of permission and mercy, and affectionate Vaiṣṇava whose physical weakness increasingly contrasts with the strength of his influence.</w:t>
            </w:r>
          </w:p>
        </w:tc>
      </w:tr>
    </w:tbl>
    <w:p/>
    <w:p>
      <w:pPr>
        <w:pStyle w:val="Heading1"/>
        <w:spacing w:after="140"/>
      </w:pPr>
      <w:r>
        <w:rPr>
          <w:b w:val="0"/>
          <w:i w:val="0"/>
        </w:rPr>
        <w:t>The Elder at Rādhā-kuṇḍa</w:t>
      </w:r>
    </w:p>
    <w:p>
      <w:pPr>
        <w:spacing w:after="100"/>
      </w:pPr>
      <w:r>
        <w:rPr>
          <w:b w:val="0"/>
          <w:i w:val="0"/>
        </w:rPr>
        <w:t>Raghunātha had come to Vraja intending to end his life. Decades later, younger Vaiṣṇavas came to Rādhā-kuṇḍa because his life had become a place from which they sought direction.</w:t>
      </w:r>
    </w:p>
    <w:p>
      <w:pPr>
        <w:spacing w:after="100"/>
      </w:pPr>
      <w:r>
        <w:rPr>
          <w:b w:val="0"/>
          <w:i w:val="0"/>
        </w:rPr>
        <w:t>That reversal is one of the quietest transformations in his biography.</w:t>
      </w:r>
    </w:p>
    <w:p>
      <w:pPr>
        <w:spacing w:after="100"/>
      </w:pPr>
      <w:r>
        <w:rPr>
          <w:b w:val="0"/>
          <w:i w:val="0"/>
        </w:rPr>
        <w:t>He never became an institutional leader in the ordinary sense. He did not build a court around himself or replace renunciation with administration. Yet the early Vraja memory preserved in Bhakti-ratnākara repeatedly places him inside a senior circle whose blessing, permission and presence mattered to the next generation.</w:t>
      </w:r>
    </w:p>
    <w:p>
      <w:pPr>
        <w:spacing w:after="100"/>
      </w:pPr>
      <w:r>
        <w:rPr>
          <w:b w:val="0"/>
          <w:i w:val="0"/>
        </w:rPr>
        <w:t>By then the body was weakening. The authority was not.</w:t>
      </w:r>
    </w:p>
    <w:p>
      <w:pPr>
        <w:pStyle w:val="Heading2"/>
        <w:spacing w:after="100"/>
      </w:pPr>
      <w:r>
        <w:rPr>
          <w:b w:val="0"/>
          <w:i w:val="0"/>
        </w:rPr>
        <w:t>Śrīnivāsa is sent to the elders</w:t>
      </w:r>
    </w:p>
    <w:p>
      <w:pPr>
        <w:spacing w:after="100"/>
      </w:pPr>
      <w:r>
        <w:rPr>
          <w:b w:val="0"/>
          <w:i w:val="0"/>
        </w:rPr>
        <w:t>One of the clearest examples comes before Śrīnivāsa Ācārya’s formal period of study.</w:t>
      </w:r>
    </w:p>
    <w:p>
      <w:pPr>
        <w:spacing w:after="100"/>
      </w:pPr>
      <w:r>
        <w:rPr>
          <w:b w:val="0"/>
          <w:i w:val="0"/>
        </w:rPr>
        <w:t>Jīva Gosvāmī does not simply begin teaching him and leave the wider Vraja community outside the process. Bhakti-ratnākara remembers Jīva sending Śrīnivāsa to the senior circle at Śrī-kuṇḍa. There he meets Raghunātha dāsa, Rāghava Paṇḍita, Kṛṣṇadāsa Kavirāja and others.</w:t>
      </w:r>
    </w:p>
    <w:p>
      <w:pPr>
        <w:spacing w:after="100"/>
      </w:pPr>
      <w:r>
        <w:rPr>
          <w:b w:val="0"/>
          <w:i w:val="0"/>
        </w:rPr>
        <w:t>Śrīnivāsa remains at Rādhā-kuṇḍa and Govardhana for three days. Only after receiving the permission and grace of that circle does he return to Vṛndāvana, where his formal study proceeds.</w:t>
      </w:r>
    </w:p>
    <w:p>
      <w:pPr>
        <w:keepLines/>
        <w:spacing w:after="140"/>
        <w:ind w:left="504" w:right="288"/>
      </w:pPr>
      <w:r>
        <w:rPr>
          <w:i/>
        </w:rPr>
        <w:t>Rāghava, Kṛṣṇadāsa Kavirāja and the others bestowed their fullest grace upon Śrīnivāsa. After remaining three days at Rādhā-kuṇḍa and Govardhana, he took everyone’s permission and returned to Vṛndāvana.</w:t>
      </w:r>
    </w:p>
    <w:p>
      <w:pPr>
        <w:spacing w:after="100"/>
      </w:pPr>
      <w:r>
        <w:rPr>
          <w:b w:val="0"/>
          <w:i w:val="0"/>
        </w:rPr>
        <w:t>The passage should not be forced into a modern institutional model. This was not an academic admissions committee. But neither is it casual courtesy.</w:t>
      </w:r>
    </w:p>
    <w:p>
      <w:pPr>
        <w:spacing w:after="100"/>
      </w:pPr>
      <w:r>
        <w:rPr>
          <w:b w:val="0"/>
          <w:i w:val="0"/>
        </w:rPr>
        <w:t>The route itself is meaningful: Jīva in Vṛndāvana sends the younger student outward to the Rādhā-kuṇḍa elders, and the student returns after receiving their blessing.</w:t>
      </w:r>
    </w:p>
    <w:p>
      <w:pPr>
        <w:spacing w:after="100"/>
      </w:pPr>
      <w:r>
        <w:rPr>
          <w:b w:val="0"/>
          <w:i w:val="0"/>
        </w:rPr>
        <w:t>Raghunātha had once been the younger man placed under Svarūpa. He had once been the grieving newcomer kept alive by Rūpa and Sanātana. Now he belonged to the generation from whom another student received permission before moving forward.</w:t>
      </w:r>
    </w:p>
    <w:p>
      <w:pPr>
        <w:pStyle w:val="Heading2"/>
        <w:spacing w:after="100"/>
      </w:pPr>
      <w:r>
        <w:rPr>
          <w:b w:val="0"/>
          <w:i w:val="0"/>
        </w:rPr>
        <w:t>“Residence at Rādhā-kuṇḍa comes through Raghunātha’s mercy”</w:t>
      </w:r>
    </w:p>
    <w:p>
      <w:pPr>
        <w:spacing w:after="100"/>
      </w:pPr>
      <w:r>
        <w:rPr>
          <w:b w:val="0"/>
          <w:i w:val="0"/>
        </w:rPr>
        <w:t>Bhakti-ratnākara later gives the relationship an even more concentrated formulation when Rāghava Paṇḍita guides Śrīnivāsa and Narottama around the kuṇḍas:</w:t>
      </w:r>
    </w:p>
    <w:p>
      <w:pPr>
        <w:keepLines/>
        <w:spacing w:after="140"/>
        <w:ind w:left="504" w:right="288"/>
      </w:pPr>
      <w:r>
        <w:rPr>
          <w:i/>
        </w:rPr>
        <w:t>“O Śrīnivāsa, know this certainly in your heart: residence at Rādhā-kuṇḍa comes through the mercy of Raghunātha.”</w:t>
      </w:r>
    </w:p>
    <w:p>
      <w:pPr>
        <w:spacing w:after="100"/>
      </w:pPr>
      <w:r>
        <w:rPr>
          <w:b w:val="0"/>
          <w:i w:val="0"/>
        </w:rPr>
        <w:t>The statement belongs to Narahari Cakravartī’s later devotional historiography, not to Raghunātha’s own mouth. But it is valuable evidence for how the early pilgrimage community remembered him.</w:t>
      </w:r>
    </w:p>
    <w:p>
      <w:pPr>
        <w:spacing w:after="100"/>
      </w:pPr>
      <w:r>
        <w:rPr>
          <w:b w:val="0"/>
          <w:i w:val="0"/>
        </w:rPr>
        <w:t>His identity had become inseparable from three forms of sevā that Rāghava immediately names together: Śrī-kuṇḍa, the Govardhana-śilā, and the guñjā garland.</w:t>
      </w:r>
    </w:p>
    <w:p>
      <w:pPr>
        <w:spacing w:after="100"/>
      </w:pPr>
      <w:r>
        <w:rPr>
          <w:b w:val="0"/>
          <w:i w:val="0"/>
        </w:rPr>
        <w:t>The gifts Mahāprabhu had placed in his hands in Purī had become, in the memory of later pilgrims, the public signs by which his Vraja life was recognized.</w:t>
      </w:r>
    </w:p>
    <w:p>
      <w:pPr>
        <w:pStyle w:val="Heading2"/>
        <w:spacing w:after="100"/>
      </w:pPr>
      <w:r>
        <w:rPr>
          <w:b w:val="0"/>
          <w:i w:val="0"/>
        </w:rPr>
        <w:t>The old man rises to embrace them</w:t>
      </w:r>
    </w:p>
    <w:p>
      <w:pPr>
        <w:spacing w:after="100"/>
      </w:pPr>
      <w:r>
        <w:rPr>
          <w:b w:val="0"/>
          <w:i w:val="0"/>
        </w:rPr>
        <w:t>The later visit of Śrīnivāsa and Narottama gives a more intimate picture.</w:t>
      </w:r>
    </w:p>
    <w:p>
      <w:pPr>
        <w:spacing w:after="100"/>
      </w:pPr>
      <w:r>
        <w:rPr>
          <w:b w:val="0"/>
          <w:i w:val="0"/>
        </w:rPr>
        <w:t>They approach Raghunātha and fall to the ground at his feet. Narahari emphasizes how weak his body has become. Yet Raghunātha rises.</w:t>
      </w:r>
    </w:p>
    <w:p>
      <w:pPr>
        <w:keepLines/>
        <w:spacing w:after="140"/>
        <w:ind w:left="504" w:right="288"/>
      </w:pPr>
      <w:r>
        <w:rPr>
          <w:i/>
        </w:rPr>
        <w:t>“Although Gosvāmī’s pure body was exceedingly weak, he rose and extended both arms. He embraced Śrīnivāsa and Narottama.”</w:t>
      </w:r>
    </w:p>
    <w:p>
      <w:pPr>
        <w:spacing w:after="100"/>
      </w:pPr>
      <w:r>
        <w:rPr>
          <w:b w:val="0"/>
          <w:i w:val="0"/>
        </w:rPr>
        <w:t>The gesture is easy to miss because later biographies naturally dwell on his physical austerity. Here his weakness is present, but it serves as contrast.</w:t>
      </w:r>
    </w:p>
    <w:p>
      <w:pPr>
        <w:spacing w:after="100"/>
      </w:pPr>
      <w:r>
        <w:rPr>
          <w:b w:val="0"/>
          <w:i w:val="0"/>
        </w:rPr>
        <w:t>He stands because they have come.</w:t>
      </w:r>
    </w:p>
    <w:p>
      <w:pPr>
        <w:spacing w:after="100"/>
      </w:pPr>
      <w:r>
        <w:rPr>
          <w:b w:val="0"/>
          <w:i w:val="0"/>
        </w:rPr>
        <w:t>Raghunātha’s mature authority is therefore not cold distance. The next generation encounters touch, tears, blessing and embrace.</w:t>
      </w:r>
    </w:p>
    <w:p>
      <w:pPr>
        <w:spacing w:after="100"/>
      </w:pPr>
      <w:r>
        <w:rPr>
          <w:b w:val="0"/>
          <w:i w:val="0"/>
        </w:rPr>
        <w:t>Kṛṣṇadāsa Kavirāja appears in the same Rādhā-kuṇḍa circle. This matters because Kṛṣṇadāsa’s relationship with Raghunātha is not merely a late claim attached to a famous author. In Caitanya-caritāmṛta he says autobiographically that through mercy he attained Raghunātha and through Raghunātha attained the shelter of Svarūpa. Elsewhere he explicitly identifies Raghunātha as the human conduit through whom Svarūpa’s treasury of Caitanya-līlā reached him.</w:t>
      </w:r>
    </w:p>
    <w:p>
      <w:pPr>
        <w:spacing w:after="100"/>
      </w:pPr>
      <w:r>
        <w:rPr>
          <w:b w:val="0"/>
          <w:i w:val="0"/>
        </w:rPr>
        <w:t>At Rādhā-kuṇḍa, the transmission line described in the text had a living social setting.</w:t>
      </w:r>
    </w:p>
    <w:p>
      <w:pPr>
        <w:pStyle w:val="Heading2"/>
        <w:spacing w:after="100"/>
      </w:pPr>
      <w:r>
        <w:rPr>
          <w:b w:val="0"/>
          <w:i w:val="0"/>
        </w:rPr>
        <w:t>Rāmacandra Kavirāja</w:t>
      </w:r>
    </w:p>
    <w:p>
      <w:pPr>
        <w:spacing w:after="100"/>
      </w:pPr>
      <w:r>
        <w:rPr>
          <w:b w:val="0"/>
          <w:i w:val="0"/>
        </w:rPr>
        <w:t>The same pattern appears when Rāmacandra Kavirāja comes to Āriṭa.</w:t>
      </w:r>
    </w:p>
    <w:p>
      <w:pPr>
        <w:spacing w:after="100"/>
      </w:pPr>
      <w:r>
        <w:rPr>
          <w:b w:val="0"/>
          <w:i w:val="0"/>
        </w:rPr>
        <w:t>After bathing in Rādhā-kuṇḍa and Śyāma-kuṇḍa, he approaches Raghunātha and bows. Raghunātha embraces him affectionately. The narrative later notes Raghunātha’s appreciation of Rāmacandra’s ability to compose verses.</w:t>
      </w:r>
    </w:p>
    <w:p>
      <w:pPr>
        <w:spacing w:after="100"/>
      </w:pPr>
      <w:r>
        <w:rPr>
          <w:b w:val="0"/>
          <w:i w:val="0"/>
        </w:rPr>
        <w:t>Again, the episode need not be enlarged into Rāmacandra’s biography. What matters here is the recurring shape of encounter: younger Vaiṣṇavas come to the kuṇḍa, bow to the aged Gosvāmī, and are personally received.</w:t>
      </w:r>
    </w:p>
    <w:p>
      <w:pPr>
        <w:spacing w:after="100"/>
      </w:pPr>
      <w:r>
        <w:rPr>
          <w:b w:val="0"/>
          <w:i w:val="0"/>
        </w:rPr>
        <w:t>Raghunātha’s literary sensitivity also remains visible. The author of Vilāpa-kusumāñjali and Muktā-carita recognizes poetry in another devotee.</w:t>
      </w:r>
    </w:p>
    <w:p>
      <w:pPr>
        <w:pStyle w:val="Heading2"/>
        <w:spacing w:after="100"/>
      </w:pPr>
      <w:r>
        <w:rPr>
          <w:b w:val="0"/>
          <w:i w:val="0"/>
        </w:rPr>
        <w:t>Jāhnavā comes because he can no longer go</w:t>
      </w:r>
    </w:p>
    <w:p>
      <w:pPr>
        <w:spacing w:after="100"/>
      </w:pPr>
      <w:r>
        <w:rPr>
          <w:b w:val="0"/>
          <w:i w:val="0"/>
        </w:rPr>
        <w:t>The meeting with Jāhnavā Īśvarī belongs still later in the portrait and makes Raghunātha’s age unmistakable.</w:t>
      </w:r>
    </w:p>
    <w:p>
      <w:pPr>
        <w:spacing w:after="100"/>
      </w:pPr>
      <w:r>
        <w:rPr>
          <w:b w:val="0"/>
          <w:i w:val="0"/>
        </w:rPr>
        <w:t>Bhakti-ratnākara presents him explicitly as residing at Rādhikā-kuṇḍa when news reaches him that Jāhnavā has come to Vraja. He desires to see her, but age, renunciation and the force of separation have weakened him so severely that he cannot make the journey.</w:t>
      </w:r>
    </w:p>
    <w:p>
      <w:pPr>
        <w:spacing w:after="100"/>
      </w:pPr>
      <w:r>
        <w:rPr>
          <w:b w:val="0"/>
          <w:i w:val="0"/>
        </w:rPr>
        <w:t>The direction of pilgrimage reverses.</w:t>
      </w:r>
    </w:p>
    <w:p>
      <w:pPr>
        <w:spacing w:after="100"/>
      </w:pPr>
      <w:r>
        <w:rPr>
          <w:b w:val="0"/>
          <w:i w:val="0"/>
        </w:rPr>
        <w:t>Jāhnavā comes to him.</w:t>
      </w:r>
    </w:p>
    <w:p>
      <w:pPr>
        <w:spacing w:after="100"/>
      </w:pPr>
      <w:r>
        <w:rPr>
          <w:b w:val="0"/>
          <w:i w:val="0"/>
        </w:rPr>
        <w:t>Kṛṣṇadāsa Kavirāja and other devotees carry messages between the two circles. When she finally reaches Rādhā-kuṇḍa, Kṛṣṇadāsa goes ahead to tell Raghunātha that she has arrived.</w:t>
      </w:r>
    </w:p>
    <w:p>
      <w:pPr>
        <w:spacing w:after="100"/>
      </w:pPr>
      <w:r>
        <w:rPr>
          <w:b w:val="0"/>
          <w:i w:val="0"/>
        </w:rPr>
        <w:t>Narahari’s account then describes Raghunātha coming forward in tears. Jāhnavā sees his emaciated body and his extraordinary devotional radiance, and the meeting becomes a scene of shared prema. The Vrajavāsīs of Āriṭa gather as well.</w:t>
      </w:r>
    </w:p>
    <w:p>
      <w:pPr>
        <w:spacing w:after="100"/>
      </w:pPr>
      <w:r>
        <w:rPr>
          <w:b w:val="0"/>
          <w:i w:val="0"/>
        </w:rPr>
        <w:t>She remains at Rādhā-kuṇḍa for several days, cooking, making offerings and feeding Vaiṣṇavas and Vrajavāsīs.</w:t>
      </w:r>
    </w:p>
    <w:p>
      <w:pPr>
        <w:spacing w:after="100"/>
      </w:pPr>
      <w:r>
        <w:rPr>
          <w:b w:val="0"/>
          <w:i w:val="0"/>
        </w:rPr>
        <w:t>For Raghunātha’s biography, the important fact is not the full itinerary of Jāhnavā’s pilgrimage. It is that the man who once crossed India almost alone to reach Mahāprabhu had become physically unable to travel, while the Gauḍīya world now traveled to him.</w:t>
      </w:r>
    </w:p>
    <w:p>
      <w:pPr>
        <w:pStyle w:val="Heading2"/>
        <w:spacing w:after="100"/>
      </w:pPr>
      <w:r>
        <w:rPr>
          <w:b w:val="0"/>
          <w:i w:val="0"/>
        </w:rPr>
        <w:t>What kind of authority was this?</w:t>
      </w:r>
    </w:p>
    <w:p>
      <w:pPr>
        <w:spacing w:after="100"/>
      </w:pPr>
      <w:r>
        <w:rPr>
          <w:b w:val="0"/>
          <w:i w:val="0"/>
        </w:rPr>
        <w:t>Raghunātha’s authority at Rādhā-kuṇḍa is difficult to name with a single modern word.</w:t>
      </w:r>
    </w:p>
    <w:p>
      <w:pPr>
        <w:spacing w:after="100"/>
      </w:pPr>
      <w:r>
        <w:rPr>
          <w:b w:val="0"/>
          <w:i w:val="0"/>
        </w:rPr>
        <w:t>He was not merely a resident ascetic, because younger devotees sought his permission and mercy. He was not merely a teacher, because some of his greatest influence came through remembered life, affectionate encounter and transmitted līlā rather than classroom instruction. He was not merely a keeper of a sacred site, because his authority extended through literature, lineage memory and relationships reaching back to Svarūpa and Mahāprabhu.</w:t>
      </w:r>
    </w:p>
    <w:p>
      <w:pPr>
        <w:spacing w:after="100"/>
      </w:pPr>
      <w:r>
        <w:rPr>
          <w:b w:val="0"/>
          <w:i w:val="0"/>
        </w:rPr>
        <w:t>Perhaps the simplest description is the one his life had earned: elder.</w:t>
      </w:r>
    </w:p>
    <w:p>
      <w:pPr>
        <w:spacing w:after="100"/>
      </w:pPr>
      <w:r>
        <w:rPr>
          <w:b w:val="0"/>
          <w:i w:val="0"/>
        </w:rPr>
        <w:t>He had received from Haridāsa, Advaita, Nityānanda, Mahāprabhu, Svarūpa, Rūpa and Sanātana. At Rādhā-kuṇḍa, younger Vaiṣṇavas began receiving through him.</w:t>
      </w:r>
    </w:p>
    <w:p>
      <w:pPr>
        <w:spacing w:after="100"/>
      </w:pPr>
      <w:r>
        <w:rPr>
          <w:b w:val="0"/>
          <w:i w:val="0"/>
        </w:rPr>
        <w:t>This is why the final years cannot be understood only as increasing bodily weakness.</w:t>
      </w:r>
    </w:p>
    <w:p>
      <w:pPr>
        <w:spacing w:after="100"/>
      </w:pPr>
      <w:r>
        <w:rPr>
          <w:b w:val="0"/>
          <w:i w:val="0"/>
        </w:rPr>
        <w:t>His body was diminishing while his place in Gauḍīya memory was expanding.</w:t>
      </w:r>
    </w:p>
    <w:p>
      <w:pPr>
        <w:pStyle w:val="Heading1"/>
        <w:spacing w:after="120"/>
      </w:pPr>
      <w:r>
        <w:rPr>
          <w:b w:val="0"/>
          <w:i w:val="0"/>
        </w:rPr>
        <w:t>INTERNAL CONTROL APPARATUS • WORKING DRAFT</w:t>
      </w:r>
    </w:p>
    <w:p>
      <w:pPr>
        <w:pStyle w:val="Heading2"/>
        <w:spacing w:after="80"/>
      </w:pPr>
      <w:r>
        <w:rPr>
          <w:b w:val="0"/>
          <w:i w:val="0"/>
        </w:rPr>
        <w:t>1. Narrative and evidence map</w:t>
      </w:r>
    </w:p>
    <w:tbl>
      <w:tblPr>
        <w:tblStyle w:val="TableGrid"/>
        <w:tblW w:type="auto" w:w="0"/>
        <w:jc w:val="center"/>
        <w:tblLook w:firstColumn="1" w:firstRow="1" w:lastColumn="0" w:lastRow="0" w:noHBand="0" w:noVBand="1" w:val="04A0"/>
      </w:tblPr>
      <w:tblGrid>
        <w:gridCol w:w="2513"/>
        <w:gridCol w:w="2513"/>
        <w:gridCol w:w="2513"/>
        <w:gridCol w:w="2513"/>
      </w:tblGrid>
      <w:tr>
        <w:trPr>
          <w:cantSplit/>
          <w:tblHeader w:val="true"/>
        </w:trPr>
        <w:tc>
          <w:tcPr>
            <w:tcW w:type="dxa" w:w="2513"/>
            <w:shd w:fill="E9D8DD"/>
          </w:tcPr>
          <w:p>
            <w:r>
              <w:rPr>
                <w:b/>
              </w:rPr>
              <w:t>Biographical unit</w:t>
            </w:r>
          </w:p>
        </w:tc>
        <w:tc>
          <w:tcPr>
            <w:tcW w:type="dxa" w:w="2513"/>
            <w:shd w:fill="E9D8DD"/>
          </w:tcPr>
          <w:p>
            <w:r>
              <w:rPr>
                <w:b/>
              </w:rPr>
              <w:t>Locus</w:t>
            </w:r>
          </w:p>
        </w:tc>
        <w:tc>
          <w:tcPr>
            <w:tcW w:type="dxa" w:w="2513"/>
            <w:shd w:fill="E9D8DD"/>
          </w:tcPr>
          <w:p>
            <w:r>
              <w:rPr>
                <w:b/>
              </w:rPr>
              <w:t>Layer</w:t>
            </w:r>
          </w:p>
        </w:tc>
        <w:tc>
          <w:tcPr>
            <w:tcW w:type="dxa" w:w="2513"/>
            <w:shd w:fill="E9D8DD"/>
          </w:tcPr>
          <w:p>
            <w:r>
              <w:rPr>
                <w:b/>
              </w:rPr>
              <w:t>Control</w:t>
            </w:r>
          </w:p>
        </w:tc>
      </w:tr>
      <w:tr>
        <w:trPr>
          <w:cantSplit/>
        </w:trPr>
        <w:tc>
          <w:tcPr>
            <w:tcW w:type="dxa" w:w="2513"/>
            <w:tcMar>
              <w:top w:w="55" w:type="dxa"/>
              <w:start w:w="60" w:type="dxa"/>
              <w:bottom w:w="55" w:type="dxa"/>
              <w:end w:w="60" w:type="dxa"/>
            </w:tcMar>
          </w:tcPr>
          <w:p>
            <w:r>
              <w:t>Jīva sends Śrīnivāsa to the Śrī-kuṇḍa senior circle; formal study follows their permission</w:t>
            </w:r>
          </w:p>
        </w:tc>
        <w:tc>
          <w:tcPr>
            <w:tcW w:type="dxa" w:w="2513"/>
            <w:tcMar>
              <w:top w:w="55" w:type="dxa"/>
              <w:start w:w="60" w:type="dxa"/>
              <w:bottom w:w="55" w:type="dxa"/>
              <w:end w:w="60" w:type="dxa"/>
            </w:tcMar>
          </w:tcPr>
          <w:p>
            <w:r>
              <w:t>Bhakti-ratnākara 390–394</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Shows senior-authorization corridor; do not describe as a modern credentialing body.</w:t>
            </w:r>
          </w:p>
        </w:tc>
      </w:tr>
      <w:tr>
        <w:trPr>
          <w:cantSplit/>
        </w:trPr>
        <w:tc>
          <w:tcPr>
            <w:tcW w:type="dxa" w:w="2513"/>
            <w:tcMar>
              <w:top w:w="55" w:type="dxa"/>
              <w:start w:w="60" w:type="dxa"/>
              <w:bottom w:w="55" w:type="dxa"/>
              <w:end w:w="60" w:type="dxa"/>
            </w:tcMar>
          </w:tcPr>
          <w:p>
            <w:r>
              <w:t>Rādhā-kuṇḍa residence said to come through Raghunātha’s mercy</w:t>
            </w:r>
          </w:p>
        </w:tc>
        <w:tc>
          <w:tcPr>
            <w:tcW w:type="dxa" w:w="2513"/>
            <w:tcMar>
              <w:top w:w="55" w:type="dxa"/>
              <w:start w:w="60" w:type="dxa"/>
              <w:bottom w:w="55" w:type="dxa"/>
              <w:end w:w="60" w:type="dxa"/>
            </w:tcMar>
          </w:tcPr>
          <w:p>
            <w:r>
              <w:t>BR 5.582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Reception history of Raghunātha’s authority; not self-authored statement.</w:t>
            </w:r>
          </w:p>
        </w:tc>
      </w:tr>
      <w:tr>
        <w:trPr>
          <w:cantSplit/>
        </w:trPr>
        <w:tc>
          <w:tcPr>
            <w:tcW w:type="dxa" w:w="2513"/>
            <w:tcMar>
              <w:top w:w="55" w:type="dxa"/>
              <w:start w:w="60" w:type="dxa"/>
              <w:bottom w:w="55" w:type="dxa"/>
              <w:end w:w="60" w:type="dxa"/>
            </w:tcMar>
          </w:tcPr>
          <w:p>
            <w:r>
              <w:t>Raghunātha’s service linked with Śrī-kuṇḍa, Govardhana-śilā and guñjā-mālā</w:t>
            </w:r>
          </w:p>
        </w:tc>
        <w:tc>
          <w:tcPr>
            <w:tcW w:type="dxa" w:w="2513"/>
            <w:tcMar>
              <w:top w:w="55" w:type="dxa"/>
              <w:start w:w="60" w:type="dxa"/>
              <w:bottom w:w="55" w:type="dxa"/>
              <w:end w:w="60" w:type="dxa"/>
            </w:tcMar>
          </w:tcPr>
          <w:p>
            <w:r>
              <w:t>BR 5.583</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Early pilgrimage memory joins the three central symbols of his Vraja identity.</w:t>
            </w:r>
          </w:p>
        </w:tc>
      </w:tr>
      <w:tr>
        <w:trPr>
          <w:cantSplit/>
        </w:trPr>
        <w:tc>
          <w:tcPr>
            <w:tcW w:type="dxa" w:w="2513"/>
            <w:tcMar>
              <w:top w:w="55" w:type="dxa"/>
              <w:start w:w="60" w:type="dxa"/>
              <w:bottom w:w="55" w:type="dxa"/>
              <w:end w:w="60" w:type="dxa"/>
            </w:tcMar>
          </w:tcPr>
          <w:p>
            <w:r>
              <w:t>Weak Raghunātha rises to embrace Śrīnivāsa and Narottama</w:t>
            </w:r>
          </w:p>
        </w:tc>
        <w:tc>
          <w:tcPr>
            <w:tcW w:type="dxa" w:w="2513"/>
            <w:tcMar>
              <w:top w:w="55" w:type="dxa"/>
              <w:start w:w="60" w:type="dxa"/>
              <w:bottom w:w="55" w:type="dxa"/>
              <w:end w:w="60" w:type="dxa"/>
            </w:tcMar>
          </w:tcPr>
          <w:p>
            <w:r>
              <w:t>BR 5.590–592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Important affectionate elder portrait.</w:t>
            </w:r>
          </w:p>
        </w:tc>
      </w:tr>
      <w:tr>
        <w:trPr>
          <w:cantSplit/>
        </w:trPr>
        <w:tc>
          <w:tcPr>
            <w:tcW w:type="dxa" w:w="2513"/>
            <w:tcMar>
              <w:top w:w="55" w:type="dxa"/>
              <w:start w:w="60" w:type="dxa"/>
              <w:bottom w:w="55" w:type="dxa"/>
              <w:end w:w="60" w:type="dxa"/>
            </w:tcMar>
          </w:tcPr>
          <w:p>
            <w:r>
              <w:t>Kṛṣṇadāsa received shelter of Raghunātha and through him Svarūpa</w:t>
            </w:r>
          </w:p>
        </w:tc>
        <w:tc>
          <w:tcPr>
            <w:tcW w:type="dxa" w:w="2513"/>
            <w:tcMar>
              <w:top w:w="55" w:type="dxa"/>
              <w:start w:w="60" w:type="dxa"/>
              <w:bottom w:w="55" w:type="dxa"/>
              <w:end w:w="60" w:type="dxa"/>
            </w:tcMar>
          </w:tcPr>
          <w:p>
            <w:r>
              <w:t>CC Ādi 5.202</w:t>
            </w:r>
          </w:p>
        </w:tc>
        <w:tc>
          <w:tcPr>
            <w:tcW w:type="dxa" w:w="2513"/>
            <w:tcMar>
              <w:top w:w="55" w:type="dxa"/>
              <w:start w:w="60" w:type="dxa"/>
              <w:bottom w:w="55" w:type="dxa"/>
              <w:end w:w="60" w:type="dxa"/>
            </w:tcMar>
          </w:tcPr>
          <w:p>
            <w:r>
              <w:t>A2 / autobiographical Kṛṣṇadāsa</w:t>
            </w:r>
          </w:p>
        </w:tc>
        <w:tc>
          <w:tcPr>
            <w:tcW w:type="dxa" w:w="2513"/>
            <w:tcMar>
              <w:top w:w="55" w:type="dxa"/>
              <w:start w:w="60" w:type="dxa"/>
              <w:bottom w:w="55" w:type="dxa"/>
              <w:end w:w="60" w:type="dxa"/>
            </w:tcMar>
          </w:tcPr>
          <w:p>
            <w:r>
              <w:t>Primary anchor for dependence on Raghunātha.</w:t>
            </w:r>
          </w:p>
        </w:tc>
      </w:tr>
      <w:tr>
        <w:trPr>
          <w:cantSplit/>
        </w:trPr>
        <w:tc>
          <w:tcPr>
            <w:tcW w:type="dxa" w:w="2513"/>
            <w:tcMar>
              <w:top w:w="55" w:type="dxa"/>
              <w:start w:w="60" w:type="dxa"/>
              <w:bottom w:w="55" w:type="dxa"/>
              <w:end w:w="60" w:type="dxa"/>
            </w:tcMar>
          </w:tcPr>
          <w:p>
            <w:r>
              <w:t>Svarūpa’s Caitanya-līlā treasury transmitted through Raghunātha to Kṛṣṇadāsa</w:t>
            </w:r>
          </w:p>
        </w:tc>
        <w:tc>
          <w:tcPr>
            <w:tcW w:type="dxa" w:w="2513"/>
            <w:tcMar>
              <w:top w:w="55" w:type="dxa"/>
              <w:start w:w="60" w:type="dxa"/>
              <w:bottom w:w="55" w:type="dxa"/>
              <w:end w:w="60" w:type="dxa"/>
            </w:tcMar>
          </w:tcPr>
          <w:p>
            <w:r>
              <w:t>CC Madhya 2.84</w:t>
            </w:r>
          </w:p>
        </w:tc>
        <w:tc>
          <w:tcPr>
            <w:tcW w:type="dxa" w:w="2513"/>
            <w:tcMar>
              <w:top w:w="55" w:type="dxa"/>
              <w:start w:w="60" w:type="dxa"/>
              <w:bottom w:w="55" w:type="dxa"/>
              <w:end w:w="60" w:type="dxa"/>
            </w:tcMar>
          </w:tcPr>
          <w:p>
            <w:r>
              <w:t>A2</w:t>
            </w:r>
          </w:p>
        </w:tc>
        <w:tc>
          <w:tcPr>
            <w:tcW w:type="dxa" w:w="2513"/>
            <w:tcMar>
              <w:top w:w="55" w:type="dxa"/>
              <w:start w:w="60" w:type="dxa"/>
              <w:bottom w:w="55" w:type="dxa"/>
              <w:end w:w="60" w:type="dxa"/>
            </w:tcMar>
          </w:tcPr>
          <w:p>
            <w:r>
              <w:t>Already developed in RDGB-10; only summarized here.</w:t>
            </w:r>
          </w:p>
        </w:tc>
      </w:tr>
      <w:tr>
        <w:trPr>
          <w:cantSplit/>
        </w:trPr>
        <w:tc>
          <w:tcPr>
            <w:tcW w:type="dxa" w:w="2513"/>
            <w:tcMar>
              <w:top w:w="55" w:type="dxa"/>
              <w:start w:w="60" w:type="dxa"/>
              <w:bottom w:w="55" w:type="dxa"/>
              <w:end w:w="60" w:type="dxa"/>
            </w:tcMar>
          </w:tcPr>
          <w:p>
            <w:r>
              <w:t>Rāmacandra Kavirāja bows; Raghunātha embraces him and appreciates his verse-making</w:t>
            </w:r>
          </w:p>
        </w:tc>
        <w:tc>
          <w:tcPr>
            <w:tcW w:type="dxa" w:w="2513"/>
            <w:tcMar>
              <w:top w:w="55" w:type="dxa"/>
              <w:start w:w="60" w:type="dxa"/>
              <w:bottom w:w="55" w:type="dxa"/>
              <w:end w:w="60" w:type="dxa"/>
            </w:tcMar>
          </w:tcPr>
          <w:p>
            <w:r>
              <w:t>Bhakti-ratnākara, Rāmacandra’s Vraja visit</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Use briefly to show affectionate reception and literary discernment.</w:t>
            </w:r>
          </w:p>
        </w:tc>
      </w:tr>
      <w:tr>
        <w:trPr>
          <w:cantSplit/>
        </w:trPr>
        <w:tc>
          <w:tcPr>
            <w:tcW w:type="dxa" w:w="2513"/>
            <w:tcMar>
              <w:top w:w="55" w:type="dxa"/>
              <w:start w:w="60" w:type="dxa"/>
              <w:bottom w:w="55" w:type="dxa"/>
              <w:end w:w="60" w:type="dxa"/>
            </w:tcMar>
          </w:tcPr>
          <w:p>
            <w:r>
              <w:t>Aged Raghunātha cannot travel to Jāhnavā</w:t>
            </w:r>
          </w:p>
        </w:tc>
        <w:tc>
          <w:tcPr>
            <w:tcW w:type="dxa" w:w="2513"/>
            <w:tcMar>
              <w:top w:w="55" w:type="dxa"/>
              <w:start w:w="60" w:type="dxa"/>
              <w:bottom w:w="55" w:type="dxa"/>
              <w:end w:w="60" w:type="dxa"/>
            </w:tcMar>
          </w:tcPr>
          <w:p>
            <w:r>
              <w:t>BR 11.150–152</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Late-life weakness; exact Bengali wording still final-verification pending in project ledger.</w:t>
            </w:r>
          </w:p>
        </w:tc>
      </w:tr>
      <w:tr>
        <w:trPr>
          <w:cantSplit/>
        </w:trPr>
        <w:tc>
          <w:tcPr>
            <w:tcW w:type="dxa" w:w="2513"/>
            <w:tcMar>
              <w:top w:w="55" w:type="dxa"/>
              <w:start w:w="60" w:type="dxa"/>
              <w:bottom w:w="55" w:type="dxa"/>
              <w:end w:w="60" w:type="dxa"/>
            </w:tcMar>
          </w:tcPr>
          <w:p>
            <w:r>
              <w:t>Kṛṣṇadāsa acts as messenger; Jāhnavā comes to Rādhā-kuṇḍa; emotional meeting</w:t>
            </w:r>
          </w:p>
        </w:tc>
        <w:tc>
          <w:tcPr>
            <w:tcW w:type="dxa" w:w="2513"/>
            <w:tcMar>
              <w:top w:w="55" w:type="dxa"/>
              <w:start w:w="60" w:type="dxa"/>
              <w:bottom w:w="55" w:type="dxa"/>
              <w:end w:w="60" w:type="dxa"/>
            </w:tcMar>
          </w:tcPr>
          <w:p>
            <w:r>
              <w:t>BR 11.153–173</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Shows functioning community around aged Raghunātha.</w:t>
            </w:r>
          </w:p>
        </w:tc>
      </w:tr>
      <w:tr>
        <w:trPr>
          <w:cantSplit/>
        </w:trPr>
        <w:tc>
          <w:tcPr>
            <w:tcW w:type="dxa" w:w="2513"/>
            <w:tcMar>
              <w:top w:w="55" w:type="dxa"/>
              <w:start w:w="60" w:type="dxa"/>
              <w:bottom w:w="55" w:type="dxa"/>
              <w:end w:w="60" w:type="dxa"/>
            </w:tcMar>
          </w:tcPr>
          <w:p>
            <w:r>
              <w:t>Jāhnavā stays several days and feeds Vaiṣṇavas/Vrajavāsīs</w:t>
            </w:r>
          </w:p>
        </w:tc>
        <w:tc>
          <w:tcPr>
            <w:tcW w:type="dxa" w:w="2513"/>
            <w:tcMar>
              <w:top w:w="55" w:type="dxa"/>
              <w:start w:w="60" w:type="dxa"/>
              <w:bottom w:w="55" w:type="dxa"/>
              <w:end w:w="60" w:type="dxa"/>
            </w:tcMar>
          </w:tcPr>
          <w:p>
            <w:r>
              <w:t>BR 11.174–177</w:t>
            </w:r>
          </w:p>
        </w:tc>
        <w:tc>
          <w:tcPr>
            <w:tcW w:type="dxa" w:w="2513"/>
            <w:tcMar>
              <w:top w:w="55" w:type="dxa"/>
              <w:start w:w="60" w:type="dxa"/>
              <w:bottom w:w="55" w:type="dxa"/>
              <w:end w:w="60" w:type="dxa"/>
            </w:tcMar>
          </w:tcPr>
          <w:p>
            <w:r>
              <w:t>B</w:t>
            </w:r>
          </w:p>
        </w:tc>
        <w:tc>
          <w:tcPr>
            <w:tcW w:type="dxa" w:w="2513"/>
            <w:tcMar>
              <w:top w:w="55" w:type="dxa"/>
              <w:start w:w="60" w:type="dxa"/>
              <w:bottom w:w="55" w:type="dxa"/>
              <w:end w:w="60" w:type="dxa"/>
            </w:tcMar>
          </w:tcPr>
          <w:p>
            <w:r>
              <w:t>Communal context; do not turn chapter into her full pilgrimage narrative.</w:t>
            </w:r>
          </w:p>
        </w:tc>
      </w:tr>
    </w:tbl>
    <w:p/>
    <w:p>
      <w:pPr>
        <w:pStyle w:val="Heading2"/>
        <w:spacing w:after="80"/>
      </w:pPr>
      <w:r>
        <w:rPr>
          <w:b w:val="0"/>
          <w:i w:val="0"/>
        </w:rPr>
        <w:t>2. Scope controls</w:t>
      </w:r>
    </w:p>
    <w:p>
      <w:pPr>
        <w:spacing w:after="80"/>
        <w:ind w:left="259" w:hanging="173"/>
      </w:pPr>
      <w:r>
        <w:rPr>
          <w:b/>
        </w:rPr>
        <w:t xml:space="preserve">• </w:t>
      </w:r>
      <w:r>
        <w:t>Do not retell Śrīnivāsa’s full education, book-distribution mission or later Bengal career.</w:t>
      </w:r>
    </w:p>
    <w:p>
      <w:pPr>
        <w:spacing w:after="80"/>
        <w:ind w:left="259" w:hanging="173"/>
      </w:pPr>
      <w:r>
        <w:rPr>
          <w:b/>
        </w:rPr>
        <w:t xml:space="preserve">• </w:t>
      </w:r>
      <w:r>
        <w:t>Preserve Śrīnivāsa’s two Rādhā-kuṇḍa visits as distinct episodes: the earlier Jīva-sent visit and the later visit with Narottama.</w:t>
      </w:r>
    </w:p>
    <w:p>
      <w:pPr>
        <w:spacing w:after="80"/>
        <w:ind w:left="259" w:hanging="173"/>
      </w:pPr>
      <w:r>
        <w:rPr>
          <w:b/>
        </w:rPr>
        <w:t xml:space="preserve">• </w:t>
      </w:r>
      <w:r>
        <w:t>Do not retell Narottama’s life; use his presence only to illuminate Raghunātha’s reception of the next generation.</w:t>
      </w:r>
    </w:p>
    <w:p>
      <w:pPr>
        <w:spacing w:after="80"/>
        <w:ind w:left="259" w:hanging="173"/>
      </w:pPr>
      <w:r>
        <w:rPr>
          <w:b/>
        </w:rPr>
        <w:t xml:space="preserve">• </w:t>
      </w:r>
      <w:r>
        <w:t>Do not turn Rāmacandra Kavirāja’s visit into a separate biography or title-history.</w:t>
      </w:r>
    </w:p>
    <w:p>
      <w:pPr>
        <w:spacing w:after="80"/>
        <w:ind w:left="259" w:hanging="173"/>
      </w:pPr>
      <w:r>
        <w:rPr>
          <w:b/>
        </w:rPr>
        <w:t xml:space="preserve">• </w:t>
      </w:r>
      <w:r>
        <w:t>Do not reproduce Jāhnavā’s full Vraja itinerary, vision narrative, or later local ghāṭ/baithak traditions. Those belong to the Rādhā-kuṇḍa project.</w:t>
      </w:r>
    </w:p>
    <w:p>
      <w:pPr>
        <w:spacing w:after="80"/>
        <w:ind w:left="259" w:hanging="173"/>
      </w:pPr>
      <w:r>
        <w:rPr>
          <w:b/>
        </w:rPr>
        <w:t xml:space="preserve">• </w:t>
      </w:r>
      <w:r>
        <w:t>Do not infer that all named visitors were formal disciples of Raghunātha. The sources show reverence, shelter, mercy, blessing and community relationships of differing kinds.</w:t>
      </w:r>
    </w:p>
    <w:p>
      <w:pPr>
        <w:pStyle w:val="Heading2"/>
        <w:spacing w:after="80"/>
      </w:pPr>
      <w:r>
        <w:rPr>
          <w:b w:val="0"/>
          <w:i w:val="0"/>
        </w:rPr>
        <w:t>3. Source-critical controls</w:t>
      </w:r>
    </w:p>
    <w:p>
      <w:pPr>
        <w:spacing w:after="80"/>
        <w:ind w:left="259" w:hanging="173"/>
      </w:pPr>
      <w:r>
        <w:rPr>
          <w:b/>
        </w:rPr>
        <w:t xml:space="preserve">• </w:t>
      </w:r>
      <w:r>
        <w:t>Bhakti-ratnākara remains B-level early Gauḍīya devotional historiography. Its portraits are invaluable for reception and community history but must remain distinct from Raghunātha’s self-authored A1 texts and Kṛṣṇadāsa’s near-contemporary biographical testimony.</w:t>
      </w:r>
    </w:p>
    <w:p>
      <w:pPr>
        <w:spacing w:after="80"/>
        <w:ind w:left="259" w:hanging="173"/>
      </w:pPr>
      <w:r>
        <w:rPr>
          <w:b/>
        </w:rPr>
        <w:t xml:space="preserve">• </w:t>
      </w:r>
      <w:r>
        <w:t>The Jāhnavā unit BR 11.150–189 is controlled in the project through a working Romanized transcription/translation; final publication still requires direct printed Bengali verification.</w:t>
      </w:r>
    </w:p>
    <w:p>
      <w:pPr>
        <w:spacing w:after="80"/>
        <w:ind w:left="259" w:hanging="173"/>
      </w:pPr>
      <w:r>
        <w:rPr>
          <w:b/>
        </w:rPr>
        <w:t xml:space="preserve">• </w:t>
      </w:r>
      <w:r>
        <w:t>The phrase that Rādhā-kuṇḍa residence comes through Raghunātha’s mercy is Narahari/Rāghava’s pilgrimage theology, not a statement Raghunātha makes about himself.</w:t>
      </w:r>
    </w:p>
    <w:p>
      <w:pPr>
        <w:spacing w:after="80"/>
        <w:ind w:left="259" w:hanging="173"/>
      </w:pPr>
      <w:r>
        <w:rPr>
          <w:b/>
        </w:rPr>
        <w:t xml:space="preserve">• </w:t>
      </w:r>
      <w:r>
        <w:t>CC Ādi 5.202 and Madhya 2.84 are the strongest anchors for Kṛṣṇadāsa’s dependence on Raghunātha and the Svarūpa–Raghunātha–Kṛṣṇadāsa transmission chain.</w:t>
      </w:r>
    </w:p>
    <w:p>
      <w:pPr>
        <w:spacing w:after="80"/>
        <w:ind w:left="259" w:hanging="173"/>
      </w:pPr>
      <w:r>
        <w:rPr>
          <w:b/>
        </w:rPr>
        <w:t xml:space="preserve">• </w:t>
      </w:r>
      <w:r>
        <w:t>Avoid projecting a formal monastic hierarchy onto the senior Rādhā-kuṇḍa circle. 'Elder,' 'senior authority,' 'shelter' and 'permission/blessing' fit the evidence better.</w:t>
      </w:r>
    </w:p>
    <w:p>
      <w:pPr>
        <w:pStyle w:val="Heading2"/>
        <w:spacing w:after="80"/>
      </w:pPr>
      <w:r>
        <w:rPr>
          <w:b w:val="0"/>
          <w:i w:val="0"/>
        </w:rPr>
        <w:t>4. Continuity handoff to RDGB-17</w:t>
      </w:r>
    </w:p>
    <w:p>
      <w:pPr>
        <w:spacing w:after="100"/>
      </w:pPr>
      <w:r>
        <w:rPr>
          <w:b w:val="0"/>
          <w:i w:val="0"/>
        </w:rPr>
        <w:t>RDGB-17 should now enter Raghunātha’s last years. The center should be viraha after the disappearance of Rūpa and Sanātana, increasing bodily weakness, continued Govardhana-śilā and guñjā-mālā worship, and the chronology problem surrounding his final years. The chapter must distinguish devotional/later disappearance traditions from the strongest documentary late-life evidence and should not force a single death year where the record remains open.</w:t>
      </w:r>
    </w:p>
    <w:p>
      <w:pPr>
        <w:pStyle w:val="Heading2"/>
        <w:spacing w:after="80"/>
      </w:pPr>
      <w:r>
        <w:rPr>
          <w:b w:val="0"/>
          <w:i w:val="0"/>
        </w:rPr>
        <w:t>5. Finalization checklist for RDGB-16</w:t>
      </w:r>
    </w:p>
    <w:p>
      <w:pPr>
        <w:spacing w:after="80"/>
        <w:ind w:left="259" w:hanging="173"/>
      </w:pPr>
      <w:r>
        <w:rPr>
          <w:b/>
        </w:rPr>
        <w:t xml:space="preserve">• </w:t>
      </w:r>
      <w:r>
        <w:t>User prose approval.</w:t>
      </w:r>
    </w:p>
    <w:p>
      <w:pPr>
        <w:spacing w:after="80"/>
        <w:ind w:left="259" w:hanging="173"/>
      </w:pPr>
      <w:r>
        <w:rPr>
          <w:b/>
        </w:rPr>
        <w:t xml:space="preserve">• </w:t>
      </w:r>
      <w:r>
        <w:t>Final check of BR 390–394 and 5.582–592 against preferred Romanized/printed witness.</w:t>
      </w:r>
    </w:p>
    <w:p>
      <w:pPr>
        <w:spacing w:after="80"/>
        <w:ind w:left="259" w:hanging="173"/>
      </w:pPr>
      <w:r>
        <w:rPr>
          <w:b/>
        </w:rPr>
        <w:t xml:space="preserve">• </w:t>
      </w:r>
      <w:r>
        <w:t>Final direct Bengali verification of BR 11.150–177 before publication-quality status.</w:t>
      </w:r>
    </w:p>
    <w:p>
      <w:pPr>
        <w:spacing w:after="80"/>
        <w:ind w:left="259" w:hanging="173"/>
      </w:pPr>
      <w:r>
        <w:rPr>
          <w:b/>
        </w:rPr>
        <w:t xml:space="preserve">• </w:t>
      </w:r>
      <w:r>
        <w:t>Retain the distinction between Śrīnivāsa’s two Rādhā-kuṇḍa visits.</w:t>
      </w:r>
    </w:p>
    <w:p>
      <w:pPr>
        <w:spacing w:after="80"/>
        <w:ind w:left="259" w:hanging="173"/>
      </w:pPr>
      <w:r>
        <w:rPr>
          <w:b/>
        </w:rPr>
        <w:t xml:space="preserve">• </w:t>
      </w:r>
      <w:r>
        <w:t>Keep visitor narratives compressed so the biography remains about Raghunātha.</w:t>
      </w:r>
    </w:p>
    <w:p>
      <w:pPr>
        <w:spacing w:after="80"/>
        <w:ind w:left="259" w:hanging="173"/>
      </w:pPr>
      <w:r>
        <w:rPr>
          <w:b/>
        </w:rPr>
        <w:t xml:space="preserve">• </w:t>
      </w:r>
      <w:r>
        <w:t>Audit transition to RDGB-17 so physical weakness introduced here develops naturally into the final-years chapter.</w:t>
      </w:r>
    </w:p>
    <w:sectPr w:rsidR="00FC693F" w:rsidRPr="0006063C" w:rsidSect="00034616">
      <w:headerReference w:type="default" r:id="rId9"/>
      <w:footerReference w:type="default" r:id="rId10"/>
      <w:pgSz w:w="12240" w:h="15840"/>
      <w:pgMar w:top="922" w:right="1094" w:bottom="922"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RDGB-16 • Draft v0.1 • 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RDGB-06 — Svarūpera Raghu: The Instruction He Lived — Draft v0.1</dc:title>
  <dc:subject>Govardhana Pilgrimage — Raghunātha dāsa Gosvāmī biography</dc:subject>
  <dc:creator>python-docx</dc:creator>
  <cp:keywords>Raghunatha dasa Gosvami, Svarupa Damodara, Caitanya Mahaprabhu, Antya 6, manasi-seva, nama-sankirtana</cp:keywords>
  <dc:description>generated by python-docx</dc:description>
  <cp:lastModifiedBy/>
  <cp:revision>1</cp:revision>
  <dcterms:created xsi:type="dcterms:W3CDTF">2013-12-23T23:15:00Z</dcterms:created>
  <dcterms:modified xsi:type="dcterms:W3CDTF">2013-12-23T23:15:00Z</dcterms:modified>
  <cp:category/>
</cp:coreProperties>
</file>