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RDGB-03</w:t>
      </w:r>
    </w:p>
    <w:p>
      <w:pPr>
        <w:pStyle w:val="Title"/>
        <w:jc w:val="center"/>
      </w:pPr>
      <w:r>
        <w:t>The Businessman’s Year</w:t>
      </w:r>
    </w:p>
    <w:p>
      <w:pPr>
        <w:pStyle w:val="Subtitle"/>
        <w:jc w:val="center"/>
      </w:pPr>
      <w:r>
        <w:t>Arrest, diplomacy, and the freedom no rope could hold</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3 draft. The controlling source is Caitanya-caritāmṛta Antya 6.14–41, with the revenue episode concentrated in 6.17–35. The chapter deliberately avoids reconstructing the Bengal revenue system beyond what the text securely states and does not convert the monetary figures into modern values.</w:t>
            </w:r>
          </w:p>
        </w:tc>
      </w:tr>
    </w:tbl>
    <w:p>
      <w:r>
        <w:br w:type="page"/>
      </w:r>
    </w:p>
    <w:p>
      <w:pPr>
        <w:pStyle w:val="Heading1"/>
        <w:keepNext w:val="1"/>
        <w:keepLines w:val="1"/>
      </w:pPr>
      <w:r>
        <w:t>The Businessman’s Year</w:t>
      </w:r>
    </w:p>
    <w:p>
      <w:pPr>
        <w:ind w:firstLine="317"/>
      </w:pPr>
      <w:r>
        <w:t>Mahāprabhu had told Raghunātha to return home, remain steady, and let inward renunciation grow beneath ordinary outward conduct. Raghunātha obeyed so thoroughly that, to those watching him, he almost seemed to have become the person his family wanted him to be. Kṛṣṇadāsa Kavirāja says he became viṣayi-prāya—outwardly almost like a worldly man. Inside was vairāgya; outside he performed the work before him.</w:t>
      </w:r>
    </w:p>
    <w:p>
      <w:pPr>
        <w:ind w:firstLine="317"/>
      </w:pPr>
      <w:r>
        <w:t>That sentence is easy to read as a temporary disguise, as though the only real Raghunātha were the future ascetic and everything before his escape were theater. The next episode makes that reading too simple. Raghunātha did not merely look occupied. He became effective inside the difficult world of his family’s affairs. When danger entered through money, government claims, rivalry and arrest, the young man who longed to abandon everything proved capable of understanding people and resolving a conflict that older men had failed to settle.</w:t>
      </w:r>
    </w:p>
    <w:p>
      <w:pPr>
        <w:ind w:firstLine="317"/>
      </w:pPr>
      <w:r>
        <w:t>The dispute began around the revenue administration of Saptagrāma. Kṛṣṇadāsa describes a Muslim caudhurī, an official connected with tax collection, whose position had been displaced when Hiraṇya dāsa—Raghunātha’s uncle—took the area under a revenue agreement. The numbers in the text are enormous. Hiraṇya collected twenty lakhs and delivered twelve lakhs to the ruler. The dispossessed caudhurī received nothing and became his rival. Whatever the exact fiscal mechanism behind these figures, Kṛṣṇadāsa’s narrative is clear about the result: money had become grievance, and grievance had acquired governmental force.</w:t>
      </w:r>
    </w:p>
    <w:p>
      <w:pPr>
        <w:ind w:firstLine="317"/>
      </w:pPr>
      <w:r>
        <w:t>The caudhurī submitted an account to the authorities and brought in the minister responsible. He intended to arrest Hiraṇya, but Hiraṇya had already left. So the official seized Raghunātha instead.</w:t>
      </w:r>
    </w:p>
    <w:p>
      <w:pPr>
        <w:ind w:firstLine="317"/>
      </w:pPr>
      <w:r>
        <w:t>The situation was no longer the sheltered frustration of guards at home. Raghunātha was now being held because of a political and financial quarrel involving his family. Day after day the caudhurī threatened him: bring your father and your uncle, or you will be punished. At moments he intended to beat him. Yet Kṛṣṇadāsa says that whenever he looked at Raghunātha, his mind changed and he could not strike.</w:t>
      </w:r>
    </w:p>
    <w:p>
      <w:pPr>
        <w:ind w:firstLine="317"/>
      </w:pPr>
      <w:r>
        <w:t>The text adds a social detail that should not be romanticized but should not be ignored. The official feared him partly because he knew him as a kāyastha of an influential family. Raghunātha was not socially powerless. The same world of birth, status and administrative culture from which he inwardly wished to become free could still protect him. The official could threaten loudly, but he hesitated to use violence.</w:t>
      </w:r>
    </w:p>
    <w:p>
      <w:pPr>
        <w:ind w:firstLine="317"/>
      </w:pPr>
      <w:r>
        <w:t>Raghunātha did not answer the danger with defiance. Nor did he denounce wealth, taxation or government as beneath him. Instead he studied the person standing before him and changed the relationship in which the quarrel was being understood.</w:t>
      </w:r>
    </w:p>
    <w:p>
      <w:pPr>
        <w:ind w:firstLine="317"/>
      </w:pPr>
      <w:r>
        <w:t>“My father and my uncle are your brothers,” he told the caudhurī. Brothers quarrel, and brothers become affectionate again; who can say which condition will last? Today there is conflict. Tomorrow the three of you may sit together in peace.</w:t>
      </w:r>
    </w:p>
    <w:p>
      <w:pPr>
        <w:ind w:firstLine="317"/>
      </w:pPr>
      <w:r>
        <w:t>Then Raghunātha made the argument personal. Just as I am my father’s son, he said, so I am also your boy. I am your pālya, one to be protected and maintained; you are my pālaka, my protector and maintainer. How is it proper for a maintainer to punish the one who depends upon him? And then, with a kind of audacity made gentle by humility, he praised the man threatening him as learned in scripture and “like a living pīr.”</w:t>
      </w:r>
    </w:p>
    <w:p>
      <w:pPr>
        <w:ind w:firstLine="317"/>
      </w:pPr>
      <w:r>
        <w:t>It was diplomacy built from relationship rather than accusation. Raghunātha did not tell the caudhurī that he was wrong to desire a share. He did not defend every decision made by his uncle. He gave the man a more honorable identity in which to act: not enemy, but elder; not jailer, but protector; not merely claimant, but someone capable of saintly conduct.</w:t>
      </w:r>
    </w:p>
    <w:p>
      <w:pPr>
        <w:ind w:firstLine="317"/>
      </w:pPr>
      <w:r>
        <w:t>The effect was immediate. Kṛṣṇadāsa says the caudhurī’s heart softened. Tears ran down his beard. The man who had threatened punishment told Raghunātha, “From today you are my son. Today, by some means, I shall have you released.” He spoke with the minister, secured Raghunātha’s freedom, and then explained his grievance with new openness.</w:t>
      </w:r>
    </w:p>
    <w:p>
      <w:pPr>
        <w:ind w:firstLine="317"/>
      </w:pPr>
      <w:r>
        <w:t>The official said that Raghunātha’s uncle was enjoying eight lakhs and that, as a shareholder, he too ought to receive something. Then he entrusted the settlement to the very young man he had just held: arrange a meeting between us; let your uncle decide what is proper; I will depend upon his judgment.</w:t>
      </w:r>
    </w:p>
    <w:p>
      <w:pPr>
        <w:ind w:firstLine="317"/>
      </w:pPr>
      <w:r>
        <w:t>Raghunātha did exactly that. He brought his uncle and the caudhurī together. The dispute was settled. “Everything became peaceful,” Kṛṣṇadāsa says.</w:t>
      </w:r>
    </w:p>
    <w:p>
      <w:pPr>
        <w:ind w:firstLine="317"/>
      </w:pPr>
      <w:r>
        <w:t>The episode reveals a side of Raghunātha that disappears easily beneath the brilliance of his later renunciation. He could negotiate. He could read motive. He could speak across religious and political difference without surrendering dignity. He could transform hostility through humility without becoming weak. And he could work within systems of land, money and authority while remaining inwardly detached from the life those systems promised him.</w:t>
      </w:r>
    </w:p>
    <w:p>
      <w:pPr>
        <w:ind w:firstLine="317"/>
      </w:pPr>
      <w:r>
        <w:t>Kṛṣṇadāsa then gives the period an unexpected duration: “In this way one year of Raghunātha passed.” The standard translation calls him during that year a first-class business manager. The Bengali itself is sparer, but the narrative justifies the impression. For a year, Mahāprabhu’s command to live outwardly in ordinary dealings was not theoretical. Raghunātha inhabited it.</w:t>
      </w:r>
    </w:p>
    <w:p>
      <w:pPr>
        <w:ind w:firstLine="317"/>
      </w:pPr>
      <w:r>
        <w:t>There is a temptation to treat that year as wasted time between the “real” spiritual events—Śāntipura behind him, Pānihāṭi ahead. But it may be one of the clearest demonstrations of what Mahāprabhu had asked from him. Raghunātha learned that detachment did not require incompetence. He could handle money without belonging to money. He could protect the interests of his household without imagining that the household was his final shelter. He could act fully in a world from which his heart was already withdrawing.</w:t>
      </w:r>
    </w:p>
    <w:p>
      <w:pPr>
        <w:ind w:firstLine="317"/>
      </w:pPr>
      <w:r>
        <w:t>Then the next year came, and the desire to leave returned with force. One night he rose alone and fled. His father caught him at a distant place and brought him back. Then it happened again. And again. The cycle became so persistent that his mother, exhausted by it, proposed the obvious solution: their son had become bātula—mad. Tie him with ropes.</w:t>
      </w:r>
    </w:p>
    <w:p>
      <w:pPr>
        <w:ind w:firstLine="317"/>
      </w:pPr>
      <w:r>
        <w:t>Govardhana’s answer is one of the most revealing speeches in the whole early biography. He had finally understood something that wealth, marriage, affection and surveillance had all failed to change. His son possessed opulence like Indra, he said, and a wife beautiful like a celestial woman—yet none of it had been able to bind his mind. How then could ropes do what all that splendor could not? Even a father cannot cancel what has ripened in another person’s destiny.</w:t>
      </w:r>
    </w:p>
    <w:p>
      <w:pPr>
        <w:ind w:firstLine="317"/>
      </w:pPr>
      <w:r>
        <w:t>Then Govardhana named what he believed had actually happened: Caitanyacandra had bestowed mercy upon his son. “Who can keep at home one who has become mad for Caitanyacandra?”</w:t>
      </w:r>
    </w:p>
    <w:p>
      <w:pPr>
        <w:ind w:firstLine="317"/>
      </w:pPr>
      <w:r>
        <w:t>The words mark a change in the family drama. Earlier, Govardhana had tried to keep Raghunātha because he could not understand why such a life should be abandoned. Now he still wanted his son home, but he had begun to recognize that the force drawing him away did not belong to ropes, persuasion, luxury or fear. The father who could command guards had reached the limit of command.</w:t>
      </w:r>
    </w:p>
    <w:p>
      <w:pPr>
        <w:ind w:firstLine="317"/>
      </w:pPr>
      <w:r>
        <w:t>Raghunātha had learned how to remain. Now the time was approaching when grace would teach him how to leave.</w:t>
      </w:r>
    </w:p>
    <w:p>
      <w:r>
        <w:br w:type="page"/>
      </w:r>
    </w:p>
    <w:p>
      <w:pPr>
        <w:pStyle w:val="Heading1"/>
        <w:keepNext w:val="1"/>
        <w:keepLines w:val="1"/>
      </w:pPr>
      <w:r>
        <w:t>SCHOLARLY CONTROL APPARATUS</w:t>
      </w:r>
    </w:p>
    <w:p>
      <w:pPr>
        <w:pStyle w:val="Heading2"/>
        <w:keepNext w:val="1"/>
        <w:keepLines w:val="1"/>
      </w:pPr>
      <w:r>
        <w:t>1.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7B2638"/>
            <w:tcMar>
              <w:top w:w="55" w:type="dxa"/>
              <w:start w:w="65" w:type="dxa"/>
              <w:bottom w:w="55" w:type="dxa"/>
              <w:end w:w="65" w:type="dxa"/>
            </w:tcMar>
          </w:tcPr>
          <w:p>
            <w:r>
              <w:rPr>
                <w:b/>
                <w:color w:val="FFFFFF"/>
              </w:rPr>
              <w:t>Claim / movement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Evidence status</w:t>
            </w:r>
          </w:p>
        </w:tc>
        <w:tc>
          <w:tcPr>
            <w:tcW w:type="dxa" w:w="2513"/>
            <w:shd w:fill="7B2638"/>
            <w:tcMar>
              <w:top w:w="55" w:type="dxa"/>
              <w:start w:w="65" w:type="dxa"/>
              <w:bottom w:w="55" w:type="dxa"/>
              <w:end w:w="65" w:type="dxa"/>
            </w:tcMar>
          </w:tcPr>
          <w:p>
            <w:r>
              <w:rPr>
                <w:b/>
                <w:color w:val="FFFFFF"/>
              </w:rPr>
              <w:t>Draft control</w:t>
            </w:r>
          </w:p>
        </w:tc>
      </w:tr>
      <w:tr>
        <w:trPr>
          <w:cantSplit w:val="1"/>
        </w:trPr>
        <w:tc>
          <w:tcPr>
            <w:tcW w:type="dxa" w:w="2513"/>
            <w:tcMar>
              <w:top w:w="50" w:type="dxa"/>
              <w:start w:w="60" w:type="dxa"/>
              <w:bottom w:w="50" w:type="dxa"/>
              <w:end w:w="60" w:type="dxa"/>
            </w:tcMar>
            <w:vAlign w:val="top"/>
          </w:tcPr>
          <w:p>
            <w:r>
              <w:t>Outwardly viṣayi-prāya, inwardly vairāgī</w:t>
            </w:r>
          </w:p>
        </w:tc>
        <w:tc>
          <w:tcPr>
            <w:tcW w:type="dxa" w:w="2513"/>
            <w:tcMar>
              <w:top w:w="50" w:type="dxa"/>
              <w:start w:w="60" w:type="dxa"/>
              <w:bottom w:w="50" w:type="dxa"/>
              <w:end w:w="60" w:type="dxa"/>
            </w:tcMar>
            <w:vAlign w:val="top"/>
          </w:tcPr>
          <w:p>
            <w:r>
              <w:t>CC Antya 6.14–15</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The chapter treats ordinary outward conduct as obedience, not hypocrisy.</w:t>
            </w:r>
          </w:p>
        </w:tc>
      </w:tr>
      <w:tr>
        <w:trPr>
          <w:cantSplit w:val="1"/>
        </w:trPr>
        <w:tc>
          <w:tcPr>
            <w:tcW w:type="dxa" w:w="2513"/>
            <w:tcMar>
              <w:top w:w="50" w:type="dxa"/>
              <w:start w:w="60" w:type="dxa"/>
              <w:bottom w:w="50" w:type="dxa"/>
              <w:end w:w="60" w:type="dxa"/>
            </w:tcMar>
            <w:vAlign w:val="top"/>
          </w:tcPr>
          <w:p>
            <w:r>
              <w:t>Muslim caudhurī loses position after Hiraṇya takes revenue agreement</w:t>
            </w:r>
          </w:p>
        </w:tc>
        <w:tc>
          <w:tcPr>
            <w:tcW w:type="dxa" w:w="2513"/>
            <w:tcMar>
              <w:top w:w="50" w:type="dxa"/>
              <w:start w:w="60" w:type="dxa"/>
              <w:bottom w:w="50" w:type="dxa"/>
              <w:end w:w="60" w:type="dxa"/>
            </w:tcMar>
            <w:vAlign w:val="top"/>
          </w:tcPr>
          <w:p>
            <w:r>
              <w:t>CC Antya 6.17–18</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No detailed reconstruction of the administrative mechanism beyond text/purport.</w:t>
            </w:r>
          </w:p>
        </w:tc>
      </w:tr>
      <w:tr>
        <w:trPr>
          <w:cantSplit w:val="1"/>
        </w:trPr>
        <w:tc>
          <w:tcPr>
            <w:tcW w:type="dxa" w:w="2513"/>
            <w:tcMar>
              <w:top w:w="50" w:type="dxa"/>
              <w:start w:w="60" w:type="dxa"/>
              <w:bottom w:w="50" w:type="dxa"/>
              <w:end w:w="60" w:type="dxa"/>
            </w:tcMar>
            <w:vAlign w:val="top"/>
          </w:tcPr>
          <w:p>
            <w:r>
              <w:t>Twenty lakhs collected; twelve lakhs paid to ruler; official becomes rival</w:t>
            </w:r>
          </w:p>
        </w:tc>
        <w:tc>
          <w:tcPr>
            <w:tcW w:type="dxa" w:w="2513"/>
            <w:tcMar>
              <w:top w:w="50" w:type="dxa"/>
              <w:start w:w="60" w:type="dxa"/>
              <w:bottom w:w="50" w:type="dxa"/>
              <w:end w:w="60" w:type="dxa"/>
            </w:tcMar>
            <w:vAlign w:val="top"/>
          </w:tcPr>
          <w:p>
            <w:r>
              <w:t>CC Antya 6.19</w:t>
            </w:r>
          </w:p>
        </w:tc>
        <w:tc>
          <w:tcPr>
            <w:tcW w:type="dxa" w:w="2513"/>
            <w:tcMar>
              <w:top w:w="50" w:type="dxa"/>
              <w:start w:w="60" w:type="dxa"/>
              <w:bottom w:w="50" w:type="dxa"/>
              <w:end w:w="60" w:type="dxa"/>
            </w:tcMar>
            <w:vAlign w:val="top"/>
          </w:tcPr>
          <w:p>
            <w:r>
              <w:t>A2 explicit numbers</w:t>
            </w:r>
          </w:p>
        </w:tc>
        <w:tc>
          <w:tcPr>
            <w:tcW w:type="dxa" w:w="2513"/>
            <w:tcMar>
              <w:top w:w="50" w:type="dxa"/>
              <w:start w:w="60" w:type="dxa"/>
              <w:bottom w:w="50" w:type="dxa"/>
              <w:end w:w="60" w:type="dxa"/>
            </w:tcMar>
            <w:vAlign w:val="top"/>
          </w:tcPr>
          <w:p>
            <w:r>
              <w:t>Avoid BBT’s further fiscal arithmetic as though it were stated verbatim in the Bengali.</w:t>
            </w:r>
          </w:p>
        </w:tc>
      </w:tr>
      <w:tr>
        <w:trPr>
          <w:cantSplit w:val="1"/>
        </w:trPr>
        <w:tc>
          <w:tcPr>
            <w:tcW w:type="dxa" w:w="2513"/>
            <w:tcMar>
              <w:top w:w="50" w:type="dxa"/>
              <w:start w:w="60" w:type="dxa"/>
              <w:bottom w:w="50" w:type="dxa"/>
              <w:end w:w="60" w:type="dxa"/>
            </w:tcMar>
            <w:vAlign w:val="top"/>
          </w:tcPr>
          <w:p>
            <w:r>
              <w:t>Raghunātha arrested when Hiraṇya is absent</w:t>
            </w:r>
          </w:p>
        </w:tc>
        <w:tc>
          <w:tcPr>
            <w:tcW w:type="dxa" w:w="2513"/>
            <w:tcMar>
              <w:top w:w="50" w:type="dxa"/>
              <w:start w:w="60" w:type="dxa"/>
              <w:bottom w:w="50" w:type="dxa"/>
              <w:end w:w="60" w:type="dxa"/>
            </w:tcMar>
            <w:vAlign w:val="top"/>
          </w:tcPr>
          <w:p>
            <w:r>
              <w:t>CC Antya 6.20</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Arrest/being bound is secure.</w:t>
            </w:r>
          </w:p>
        </w:tc>
      </w:tr>
      <w:tr>
        <w:trPr>
          <w:cantSplit w:val="1"/>
        </w:trPr>
        <w:tc>
          <w:tcPr>
            <w:tcW w:type="dxa" w:w="2513"/>
            <w:tcMar>
              <w:top w:w="50" w:type="dxa"/>
              <w:start w:w="60" w:type="dxa"/>
              <w:bottom w:w="50" w:type="dxa"/>
              <w:end w:w="60" w:type="dxa"/>
            </w:tcMar>
            <w:vAlign w:val="top"/>
          </w:tcPr>
          <w:p>
            <w:r>
              <w:t>Threats; intended beating; hesitation based on face/status</w:t>
            </w:r>
          </w:p>
        </w:tc>
        <w:tc>
          <w:tcPr>
            <w:tcW w:type="dxa" w:w="2513"/>
            <w:tcMar>
              <w:top w:w="50" w:type="dxa"/>
              <w:start w:w="60" w:type="dxa"/>
              <w:bottom w:w="50" w:type="dxa"/>
              <w:end w:w="60" w:type="dxa"/>
            </w:tcMar>
            <w:vAlign w:val="top"/>
          </w:tcPr>
          <w:p>
            <w:r>
              <w:t>CC Antya 6.21–23</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Keep social status element without turning kāyastha stereotypes into timeless anthropology.</w:t>
            </w:r>
          </w:p>
        </w:tc>
      </w:tr>
      <w:tr>
        <w:trPr>
          <w:cantSplit w:val="1"/>
        </w:trPr>
        <w:tc>
          <w:tcPr>
            <w:tcW w:type="dxa" w:w="2513"/>
            <w:tcMar>
              <w:top w:w="50" w:type="dxa"/>
              <w:start w:w="60" w:type="dxa"/>
              <w:bottom w:w="50" w:type="dxa"/>
              <w:end w:w="60" w:type="dxa"/>
            </w:tcMar>
            <w:vAlign w:val="top"/>
          </w:tcPr>
          <w:p>
            <w:r>
              <w:t>Raghunātha reframes the dispute through kinship and protector/dependent language</w:t>
            </w:r>
          </w:p>
        </w:tc>
        <w:tc>
          <w:tcPr>
            <w:tcW w:type="dxa" w:w="2513"/>
            <w:tcMar>
              <w:top w:w="50" w:type="dxa"/>
              <w:start w:w="60" w:type="dxa"/>
              <w:bottom w:w="50" w:type="dxa"/>
              <w:end w:w="60" w:type="dxa"/>
            </w:tcMar>
            <w:vAlign w:val="top"/>
          </w:tcPr>
          <w:p>
            <w:r>
              <w:t>CC Antya 6.24–28</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Central interpretive theme: relational diplomacy.</w:t>
            </w:r>
          </w:p>
        </w:tc>
      </w:tr>
      <w:tr>
        <w:trPr>
          <w:cantSplit w:val="1"/>
        </w:trPr>
        <w:tc>
          <w:tcPr>
            <w:tcW w:type="dxa" w:w="2513"/>
            <w:tcMar>
              <w:top w:w="50" w:type="dxa"/>
              <w:start w:w="60" w:type="dxa"/>
              <w:bottom w:w="50" w:type="dxa"/>
              <w:end w:w="60" w:type="dxa"/>
            </w:tcMar>
            <w:vAlign w:val="top"/>
          </w:tcPr>
          <w:p>
            <w:r>
              <w:t>Caudhurī weeps, calls him son, releases him</w:t>
            </w:r>
          </w:p>
        </w:tc>
        <w:tc>
          <w:tcPr>
            <w:tcW w:type="dxa" w:w="2513"/>
            <w:tcMar>
              <w:top w:w="50" w:type="dxa"/>
              <w:start w:w="60" w:type="dxa"/>
              <w:bottom w:w="50" w:type="dxa"/>
              <w:end w:w="60" w:type="dxa"/>
            </w:tcMar>
            <w:vAlign w:val="top"/>
          </w:tcPr>
          <w:p>
            <w:r>
              <w:t>CC Antya 6.29–31</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Reader-facing dramatic hinge.</w:t>
            </w:r>
          </w:p>
        </w:tc>
      </w:tr>
      <w:tr>
        <w:trPr>
          <w:cantSplit w:val="1"/>
        </w:trPr>
        <w:tc>
          <w:tcPr>
            <w:tcW w:type="dxa" w:w="2513"/>
            <w:tcMar>
              <w:top w:w="50" w:type="dxa"/>
              <w:start w:w="60" w:type="dxa"/>
              <w:bottom w:w="50" w:type="dxa"/>
              <w:end w:w="60" w:type="dxa"/>
            </w:tcMar>
            <w:vAlign w:val="top"/>
          </w:tcPr>
          <w:p>
            <w:r>
              <w:t>Official requests a share; asks Raghunātha to mediate</w:t>
            </w:r>
          </w:p>
        </w:tc>
        <w:tc>
          <w:tcPr>
            <w:tcW w:type="dxa" w:w="2513"/>
            <w:tcMar>
              <w:top w:w="50" w:type="dxa"/>
              <w:start w:w="60" w:type="dxa"/>
              <w:bottom w:w="50" w:type="dxa"/>
              <w:end w:w="60" w:type="dxa"/>
            </w:tcMar>
            <w:vAlign w:val="top"/>
          </w:tcPr>
          <w:p>
            <w:r>
              <w:t>CC Antya 6.32–33</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Do not decide the underlying legal correctness of the claim.</w:t>
            </w:r>
          </w:p>
        </w:tc>
      </w:tr>
      <w:tr>
        <w:trPr>
          <w:cantSplit w:val="1"/>
        </w:trPr>
        <w:tc>
          <w:tcPr>
            <w:tcW w:type="dxa" w:w="2513"/>
            <w:tcMar>
              <w:top w:w="50" w:type="dxa"/>
              <w:start w:w="60" w:type="dxa"/>
              <w:bottom w:w="50" w:type="dxa"/>
              <w:end w:w="60" w:type="dxa"/>
            </w:tcMar>
            <w:vAlign w:val="top"/>
          </w:tcPr>
          <w:p>
            <w:r>
              <w:t>Raghunātha settles dispute</w:t>
            </w:r>
          </w:p>
        </w:tc>
        <w:tc>
          <w:tcPr>
            <w:tcW w:type="dxa" w:w="2513"/>
            <w:tcMar>
              <w:top w:w="50" w:type="dxa"/>
              <w:start w:w="60" w:type="dxa"/>
              <w:bottom w:w="50" w:type="dxa"/>
              <w:end w:w="60" w:type="dxa"/>
            </w:tcMar>
            <w:vAlign w:val="top"/>
          </w:tcPr>
          <w:p>
            <w:r>
              <w:t>CC Antya 6.34</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Everything becomes peaceful.</w:t>
            </w:r>
          </w:p>
        </w:tc>
      </w:tr>
      <w:tr>
        <w:trPr>
          <w:cantSplit w:val="1"/>
        </w:trPr>
        <w:tc>
          <w:tcPr>
            <w:tcW w:type="dxa" w:w="2513"/>
            <w:tcMar>
              <w:top w:w="50" w:type="dxa"/>
              <w:start w:w="60" w:type="dxa"/>
              <w:bottom w:w="50" w:type="dxa"/>
              <w:end w:w="60" w:type="dxa"/>
            </w:tcMar>
            <w:vAlign w:val="top"/>
          </w:tcPr>
          <w:p>
            <w:r>
              <w:t>One year passes; next year escape desire returns</w:t>
            </w:r>
          </w:p>
        </w:tc>
        <w:tc>
          <w:tcPr>
            <w:tcW w:type="dxa" w:w="2513"/>
            <w:tcMar>
              <w:top w:w="50" w:type="dxa"/>
              <w:start w:w="60" w:type="dxa"/>
              <w:bottom w:w="50" w:type="dxa"/>
              <w:end w:w="60" w:type="dxa"/>
            </w:tcMar>
            <w:vAlign w:val="top"/>
          </w:tcPr>
          <w:p>
            <w:r>
              <w:t>CC Antya 6.35</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The phrase 'first-class business manager' is from standard translation, not literal Bengali wording.</w:t>
            </w:r>
          </w:p>
        </w:tc>
      </w:tr>
      <w:tr>
        <w:trPr>
          <w:cantSplit w:val="1"/>
        </w:trPr>
        <w:tc>
          <w:tcPr>
            <w:tcW w:type="dxa" w:w="2513"/>
            <w:tcMar>
              <w:top w:w="50" w:type="dxa"/>
              <w:start w:w="60" w:type="dxa"/>
              <w:bottom w:w="50" w:type="dxa"/>
              <w:end w:w="60" w:type="dxa"/>
            </w:tcMar>
            <w:vAlign w:val="top"/>
          </w:tcPr>
          <w:p>
            <w:r>
              <w:t>Repeated escapes; mother proposes ropes; father says wealth and wife could not bind him</w:t>
            </w:r>
          </w:p>
        </w:tc>
        <w:tc>
          <w:tcPr>
            <w:tcW w:type="dxa" w:w="2513"/>
            <w:tcMar>
              <w:top w:w="50" w:type="dxa"/>
              <w:start w:w="60" w:type="dxa"/>
              <w:bottom w:w="50" w:type="dxa"/>
              <w:end w:w="60" w:type="dxa"/>
            </w:tcMar>
            <w:vAlign w:val="top"/>
          </w:tcPr>
          <w:p>
            <w:r>
              <w:t>CC Antya 6.36–40</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Keep marriage reference only as father’s speech; do not invent biography of wife.</w:t>
            </w:r>
          </w:p>
        </w:tc>
      </w:tr>
      <w:tr>
        <w:trPr>
          <w:cantSplit w:val="1"/>
        </w:trPr>
        <w:tc>
          <w:tcPr>
            <w:tcW w:type="dxa" w:w="2513"/>
            <w:tcMar>
              <w:top w:w="50" w:type="dxa"/>
              <w:start w:w="60" w:type="dxa"/>
              <w:bottom w:w="50" w:type="dxa"/>
              <w:end w:w="60" w:type="dxa"/>
            </w:tcMar>
            <w:vAlign w:val="top"/>
          </w:tcPr>
          <w:p>
            <w:r>
              <w:t>Father recognizes Caitanya’s mercy</w:t>
            </w:r>
          </w:p>
        </w:tc>
        <w:tc>
          <w:tcPr>
            <w:tcW w:type="dxa" w:w="2513"/>
            <w:tcMar>
              <w:top w:w="50" w:type="dxa"/>
              <w:start w:w="60" w:type="dxa"/>
              <w:bottom w:w="50" w:type="dxa"/>
              <w:end w:w="60" w:type="dxa"/>
            </w:tcMar>
            <w:vAlign w:val="top"/>
          </w:tcPr>
          <w:p>
            <w:r>
              <w:t>CC Antya 6.41</w:t>
            </w:r>
          </w:p>
        </w:tc>
        <w:tc>
          <w:tcPr>
            <w:tcW w:type="dxa" w:w="2513"/>
            <w:tcMar>
              <w:top w:w="50" w:type="dxa"/>
              <w:start w:w="60" w:type="dxa"/>
              <w:bottom w:w="50" w:type="dxa"/>
              <w:end w:w="60" w:type="dxa"/>
            </w:tcMar>
            <w:vAlign w:val="top"/>
          </w:tcPr>
          <w:p>
            <w:r>
              <w:t>A2 explicit</w:t>
            </w:r>
          </w:p>
        </w:tc>
        <w:tc>
          <w:tcPr>
            <w:tcW w:type="dxa" w:w="2513"/>
            <w:tcMar>
              <w:top w:w="50" w:type="dxa"/>
              <w:start w:w="60" w:type="dxa"/>
              <w:bottom w:w="50" w:type="dxa"/>
              <w:end w:w="60" w:type="dxa"/>
            </w:tcMar>
            <w:vAlign w:val="top"/>
          </w:tcPr>
          <w:p>
            <w:r>
              <w:t>End-of-chapter devotional recognition.</w:t>
            </w:r>
          </w:p>
        </w:tc>
      </w:tr>
    </w:tbl>
    <w:p>
      <w:pPr>
        <w:pStyle w:val="Heading2"/>
        <w:keepNext w:val="1"/>
        <w:keepLines w:val="1"/>
      </w:pPr>
      <w:r>
        <w:t>2. Primary quotation ledger</w:t>
      </w:r>
    </w:p>
    <w:p>
      <w:r>
        <w:rPr>
          <w:b/>
          <w:color w:val="7B2638"/>
        </w:rPr>
        <w:t>Caitanya-caritāmṛta, Antya 6.14–15</w:t>
      </w:r>
    </w:p>
    <w:p>
      <w:pPr>
        <w:ind w:left="389" w:right="259"/>
      </w:pPr>
      <w:r>
        <w:rPr>
          <w:i/>
        </w:rPr>
        <w:t>prabhura śikṣāte teṅho nija-ghare yāya</w:t>
        <w:br/>
        <w:t>markaṭa-vairāgya chāḍi’ hailā ‘viṣayi-prāya’ ||14||</w:t>
        <w:br/>
        <w:br/>
        <w:t>bhitare vairāgya, bāhire kare sarva-karma</w:t>
        <w:br/>
        <w:t>dekhiyā ta’ mātā-pitāra ānandita mana ||15||</w:t>
      </w:r>
    </w:p>
    <w:p>
      <w:pPr>
        <w:ind w:left="389" w:right="259"/>
      </w:pPr>
      <w:r>
        <w:t>By the Lord’s instruction he returned home. Giving up monkey-like renunciation, he became outwardly almost like a worldly man. Inside was vairāgya; outside he performed all activities. Seeing this, his mother and father became happy.</w:t>
      </w:r>
    </w:p>
    <w:p>
      <w:pPr>
        <w:ind w:left="389"/>
      </w:pPr>
      <w:r>
        <w:rPr>
          <w:b/>
          <w:color w:val="7B2638"/>
        </w:rPr>
        <w:t xml:space="preserve">Research use — </w:t>
      </w:r>
      <w:r>
        <w:t>Continuity bridge from RDGB-02.</w:t>
      </w:r>
    </w:p>
    <w:p>
      <w:r>
        <w:rPr>
          <w:b/>
          <w:color w:val="7B2638"/>
        </w:rPr>
        <w:t>Caitanya-caritāmṛta, Antya 6.17–20</w:t>
      </w:r>
    </w:p>
    <w:p>
      <w:pPr>
        <w:ind w:left="389" w:right="259"/>
      </w:pPr>
      <w:r>
        <w:rPr>
          <w:i/>
        </w:rPr>
        <w:t>hena-kāle mulukera eka mleccha adhikārī</w:t>
        <w:br/>
        <w:t>saptagrāma-mulukera se haya ‘caudhurī’ ||17||</w:t>
        <w:br/>
        <w:br/>
        <w:t>hiraṇya-dāsa muluka nila ‘makrari’ kariyā</w:t>
        <w:br/>
        <w:t>tāra adhikāra gela, mare se dekhiyā ||18||</w:t>
        <w:br/>
        <w:br/>
        <w:t>bāra lakṣa deya rājāya, sādhe biśa lakṣa</w:t>
        <w:br/>
        <w:t>se ‘turuk’ kichu nā pāñā haila pratipakṣa ||19||</w:t>
        <w:br/>
        <w:br/>
        <w:t>rāja-ghare kaiphiyat diyā ujīre ānila</w:t>
        <w:br/>
        <w:t>hiraṇya-dāsa palāila, raghunāthere bāndhila ||20||</w:t>
      </w:r>
    </w:p>
    <w:p>
      <w:pPr>
        <w:ind w:left="389" w:right="259"/>
      </w:pPr>
      <w:r>
        <w:t>At that time a Muslim official was the caudhurī of Saptagrāma. Hiraṇya dāsa took the district under a revenue agreement, and the caudhurī lost his position and became hostile. Hiraṇya collected twenty lakhs and paid twelve lakhs to the ruler; the former official received nothing and became his opponent. After sending an account to the government and bringing the responsible minister, he came to arrest Hiraṇya; Hiraṇya had gone, so Raghunātha was arrested.</w:t>
      </w:r>
    </w:p>
    <w:p>
      <w:pPr>
        <w:ind w:left="389"/>
      </w:pPr>
      <w:r>
        <w:rPr>
          <w:b/>
          <w:color w:val="7B2638"/>
        </w:rPr>
        <w:t xml:space="preserve">Research use — </w:t>
      </w:r>
      <w:r>
        <w:t>Translation here stays close to the Bengali figures and does not import the later arithmetic about how much 'should' have gone to the treasury.</w:t>
      </w:r>
    </w:p>
    <w:p>
      <w:r>
        <w:rPr>
          <w:b/>
          <w:color w:val="7B2638"/>
        </w:rPr>
        <w:t>Caitanya-caritāmṛta, Antya 6.21–23</w:t>
      </w:r>
    </w:p>
    <w:p>
      <w:pPr>
        <w:ind w:left="389" w:right="259"/>
      </w:pPr>
      <w:r>
        <w:rPr>
          <w:i/>
        </w:rPr>
        <w:t>prati-dina raghunāthe karaye bhartsanā</w:t>
        <w:br/>
        <w:t>‘bāpa-jyeṭhāre āna’, nahe pāibā yātanā ||21||</w:t>
        <w:br/>
        <w:br/>
        <w:t>mārite ānaye yadi dekhe raghunāthe</w:t>
        <w:br/>
        <w:t>mana phiri’ yāya, tabe nā pāre mārite ||22||</w:t>
        <w:br/>
        <w:br/>
        <w:t>viśeṣe kāyastha-buddhye antare kare ḍara</w:t>
        <w:br/>
        <w:t>mukhe tarje garje, mārite sabhaya antara ||23||</w:t>
      </w:r>
    </w:p>
    <w:p>
      <w:pPr>
        <w:ind w:left="389" w:right="259"/>
      </w:pPr>
      <w:r>
        <w:t>Every day he chastised Raghunātha: 'Bring your father and uncle, otherwise you will suffer punishment.' He would bring him intending to beat him, but upon seeing Raghunātha his mind changed and he could not do it. In particular, considering him a kāyastha, he feared him inwardly; he threatened and roared with his mouth but was afraid at heart to strike.</w:t>
      </w:r>
    </w:p>
    <w:p>
      <w:pPr>
        <w:ind w:left="389"/>
      </w:pPr>
      <w:r>
        <w:rPr>
          <w:b/>
          <w:color w:val="7B2638"/>
        </w:rPr>
        <w:t xml:space="preserve">Research use — </w:t>
      </w:r>
      <w:r>
        <w:t>The root text itself mentions kāyastha-buddhi; social explanation beyond this belongs to commentary.</w:t>
      </w:r>
    </w:p>
    <w:p>
      <w:r>
        <w:rPr>
          <w:b/>
          <w:color w:val="7B2638"/>
        </w:rPr>
        <w:t>Caitanya-caritāmṛta, Antya 6.25–28</w:t>
      </w:r>
    </w:p>
    <w:p>
      <w:pPr>
        <w:ind w:left="389" w:right="259"/>
      </w:pPr>
      <w:r>
        <w:rPr>
          <w:i/>
        </w:rPr>
        <w:t>“āmāra pitā, jyeṭhā haya tomāra dui bhāi</w:t>
        <w:br/>
        <w:t>bhāi-bhāiye tomarā kalaha kara sarvadāi ||25||</w:t>
        <w:br/>
        <w:br/>
        <w:t>kabhu kalaha, kabhu prīti — ihāra niścaya nāi</w:t>
        <w:br/>
        <w:t>kāli punaḥ tina bhāi ha-ibā eka-ṭhāñi ||26||</w:t>
        <w:br/>
        <w:br/>
        <w:t>āmi yaiche pitāra, taiche tomāra bālaka</w:t>
        <w:br/>
        <w:t>āmi tomāra pālya, tumi āmāra pālaka ||27||</w:t>
        <w:br/>
        <w:br/>
        <w:t>pālaka hañā pālyere tāḍite nā yuyāya</w:t>
        <w:br/>
        <w:t>tumi sarva-śāstra jāna ‘jindā-pīra’-prāya” ||28||</w:t>
      </w:r>
    </w:p>
    <w:p>
      <w:pPr>
        <w:ind w:left="389" w:right="259"/>
      </w:pPr>
      <w:r>
        <w:t>“My father and my uncle are your two brothers. Brothers are always quarreling; sometimes there is conflict and sometimes affection, and no one can say what will last. Tomorrow the three of you may again sit together. Just as I am my father’s boy, so I am yours. I am your dependent and you are my maintainer. It is not proper for a maintainer to punish his dependent. You know all scripture and are like a living pīr.”</w:t>
      </w:r>
    </w:p>
    <w:p>
      <w:pPr>
        <w:ind w:left="389"/>
      </w:pPr>
      <w:r>
        <w:rPr>
          <w:b/>
          <w:color w:val="7B2638"/>
        </w:rPr>
        <w:t xml:space="preserve">Research use — </w:t>
      </w:r>
      <w:r>
        <w:t>This speech is the chapter’s central evidence for Raghunātha’s relational intelligence.</w:t>
      </w:r>
    </w:p>
    <w:p>
      <w:r>
        <w:rPr>
          <w:b/>
          <w:color w:val="7B2638"/>
        </w:rPr>
        <w:t>Caitanya-caritāmṛta, Antya 6.29–31</w:t>
      </w:r>
    </w:p>
    <w:p>
      <w:pPr>
        <w:ind w:left="389" w:right="259"/>
      </w:pPr>
      <w:r>
        <w:rPr>
          <w:i/>
        </w:rPr>
        <w:t>eta śuni’ sei mlecchera mana ārdra haila</w:t>
        <w:br/>
        <w:t>dāḍi vāhi’ aśru paḍe, kāṅdite lāgila ||29||</w:t>
        <w:br/>
        <w:br/>
        <w:t>mleccha bale, — “āji haite tumi — mora ‘putra’</w:t>
        <w:br/>
        <w:t>āji chāḍāimu tomā’ kari’ eka sūtra” ||30||</w:t>
        <w:br/>
        <w:br/>
        <w:t>ujire kahiyā raghunāthe chāḍāila</w:t>
        <w:br/>
        <w:t>prīti kari’ raghunāthe kahite lāgila ||31||</w:t>
      </w:r>
    </w:p>
    <w:p>
      <w:pPr>
        <w:ind w:left="389" w:right="259"/>
      </w:pPr>
      <w:r>
        <w:t>Hearing this, the Muslim official’s heart softened; tears flowed down his beard and he began to cry. He said, 'From today you are my son. Today, by some means, I shall have you released.' After speaking with the minister, he released Raghunātha and began to speak to him affectionately.</w:t>
      </w:r>
    </w:p>
    <w:p>
      <w:pPr>
        <w:ind w:left="389"/>
      </w:pPr>
      <w:r>
        <w:rPr>
          <w:b/>
          <w:color w:val="7B2638"/>
        </w:rPr>
        <w:t xml:space="preserve">Research use — </w:t>
      </w:r>
      <w:r>
        <w:t>Direct narrative reversal.</w:t>
      </w:r>
    </w:p>
    <w:p>
      <w:r>
        <w:rPr>
          <w:b/>
          <w:color w:val="7B2638"/>
        </w:rPr>
        <w:t>Caitanya-caritāmṛta, Antya 6.32–35</w:t>
      </w:r>
    </w:p>
    <w:p>
      <w:pPr>
        <w:ind w:left="389" w:right="259"/>
      </w:pPr>
      <w:r>
        <w:rPr>
          <w:i/>
        </w:rPr>
        <w:t>“tomāra jyeṭhā nirbuddhi aṣṭa-lakṣa khāya</w:t>
        <w:br/>
        <w:t>āmi — bhāgī, āmāre kichu dibāre yuyāya ||32||</w:t>
        <w:br/>
        <w:br/>
        <w:t>yāha tumi, tomāra jyeṭhāre milāha āmāre</w:t>
        <w:br/>
        <w:t>ye-mate bhāla haya karuna, bhāra diluṅ tāṅre” ||33||</w:t>
        <w:br/>
        <w:br/>
        <w:t>raghunātha āsi’ tabe jyeṭhāre milāila</w:t>
        <w:br/>
        <w:t>mleccha-sahita vaśa kaila — saba śānta haila ||34||</w:t>
        <w:br/>
        <w:br/>
        <w:t>ei-mata raghunāthera vatsareka gela</w:t>
        <w:br/>
        <w:t>dvitīya vatsare palāite mana kaila ||35||</w:t>
      </w:r>
    </w:p>
    <w:p>
      <w:pPr>
        <w:ind w:left="389" w:right="259"/>
      </w:pPr>
      <w:r>
        <w:t>“Your uncle is foolish; he enjoys eight lakhs. I am a shareholder, so it is proper that he give me something. Go and arrange for me to meet your uncle. Let him do whatever is best; I entrust the matter to him.” Raghunātha arranged the meeting, settled the matter with the official, and everything became peaceful. In this way one year of Raghunātha passed. In the next year he decided to leave again.</w:t>
      </w:r>
    </w:p>
    <w:p>
      <w:pPr>
        <w:ind w:left="389"/>
      </w:pPr>
      <w:r>
        <w:rPr>
          <w:b/>
          <w:color w:val="7B2638"/>
        </w:rPr>
        <w:t xml:space="preserve">Research use — </w:t>
      </w:r>
      <w:r>
        <w:t>The root verse does not call him a 'first-class business manager'; that is the standard English translation’s explanatory rendering of the year-long period.</w:t>
      </w:r>
    </w:p>
    <w:p>
      <w:r>
        <w:rPr>
          <w:b/>
          <w:color w:val="7B2638"/>
        </w:rPr>
        <w:t>Caitanya-caritāmṛta, Antya 6.36–41</w:t>
      </w:r>
    </w:p>
    <w:p>
      <w:pPr>
        <w:ind w:left="389" w:right="259"/>
      </w:pPr>
      <w:r>
        <w:rPr>
          <w:i/>
        </w:rPr>
        <w:t>rātre uṭhi’ ekelā calilā palāñā</w:t>
        <w:br/>
        <w:t>dūra haite pitā tāṅre ānila dhariyā ||36||</w:t>
        <w:br/>
        <w:br/>
        <w:t>ei-mate bāre bāre palāya, dhari’ āne</w:t>
        <w:br/>
        <w:t>tabe tāṅra mātā kahe tāṅra pitā sane ||37||</w:t>
        <w:br/>
        <w:br/>
        <w:t>“putra ‘bātula’ ha-ila, ihāya rākhaha bāndhiyā”</w:t>
        <w:br/>
        <w:t>tāṅra pitā kahe tāre nirviṇṇa hañā ||38||</w:t>
        <w:br/>
        <w:br/>
        <w:t>“indra-sama aiśvarya, strī apsarā-sama</w:t>
        <w:br/>
        <w:t>e saba bāndhite nārileka yāṅra mana ||39||</w:t>
        <w:br/>
        <w:br/>
        <w:t>daḍira bandhane tāṅre rākhibā ke-mate?</w:t>
        <w:br/>
        <w:t>janma-dātā pitā nāre ‘prārabdha’ khaṇḍāite ||40||</w:t>
        <w:br/>
        <w:br/>
        <w:t>caitanya-candrera kṛpā hañāche iṅhāre</w:t>
        <w:br/>
        <w:t>caitanya-candrera ‘bātula’ ke rākhite pāre?” ||41||</w:t>
      </w:r>
    </w:p>
    <w:p>
      <w:pPr>
        <w:ind w:left="389" w:right="259"/>
      </w:pPr>
      <w:r>
        <w:t>One night he rose alone and fled, but his father caught him at a distant place and brought him back. This happened repeatedly. His mother said, 'Our son has become mad; keep him bound.' His father answered sorrowfully: 'He has opulence like Indra and a wife like a celestial woman, yet these could not bind his mind. How will ropes keep him? Even a father cannot nullify what has ripened. Caitanyacandra has bestowed mercy upon him. Who can keep home one who is mad for Caitanyacandra?'</w:t>
      </w:r>
    </w:p>
    <w:p>
      <w:pPr>
        <w:ind w:left="389"/>
      </w:pPr>
      <w:r>
        <w:rPr>
          <w:b/>
          <w:color w:val="7B2638"/>
        </w:rPr>
        <w:t xml:space="preserve">Research use — </w:t>
      </w:r>
      <w:r>
        <w:t>The father’s speech creates the final handoff to Pānihāṭi.</w:t>
      </w:r>
    </w:p>
    <w:p>
      <w:pPr>
        <w:pStyle w:val="Heading2"/>
        <w:keepNext w:val="1"/>
        <w:keepLines w:val="1"/>
      </w:pPr>
      <w:r>
        <w:t>3. Historical and interpretive cautions</w:t>
      </w:r>
    </w:p>
    <w:p>
      <w:pPr>
        <w:ind w:left="259" w:hanging="173"/>
      </w:pPr>
      <w:r>
        <w:rPr>
          <w:b/>
        </w:rPr>
        <w:t xml:space="preserve">• </w:t>
      </w:r>
      <w:r>
        <w:t>The chapter uses Kṛṣṇadāsa’s own period vocabulary (caudhurī, mleccha, turuk, kāyastha) only where relevant; the reader-facing prose uses 'Muslim caudhurī/official' rather than reproducing polemical social labels unnecessarily.</w:t>
      </w:r>
    </w:p>
    <w:p>
      <w:pPr>
        <w:ind w:left="259" w:hanging="173"/>
      </w:pPr>
      <w:r>
        <w:rPr>
          <w:b/>
        </w:rPr>
        <w:t xml:space="preserve">• </w:t>
      </w:r>
      <w:r>
        <w:t>The revenue arithmetic is left at the level of the Bengali text: twenty lakhs collected, twelve lakhs paid to the ruler, eight lakhs later described as enjoyed by the uncle. The BBT translation’s calculation of a 300,000-coin extra profit is interpretive and not repeated as primary wording.</w:t>
      </w:r>
    </w:p>
    <w:p>
      <w:pPr>
        <w:ind w:left="259" w:hanging="173"/>
      </w:pPr>
      <w:r>
        <w:rPr>
          <w:b/>
        </w:rPr>
        <w:t xml:space="preserve">• </w:t>
      </w:r>
      <w:r>
        <w:t>No claim is made about whether Hiraṇya or the caudhurī was legally or morally correct in the underlying fiscal dispute.</w:t>
      </w:r>
    </w:p>
    <w:p>
      <w:pPr>
        <w:ind w:left="259" w:hanging="173"/>
      </w:pPr>
      <w:r>
        <w:rPr>
          <w:b/>
        </w:rPr>
        <w:t xml:space="preserve">• </w:t>
      </w:r>
      <w:r>
        <w:t>The phrase 'businessman’s year' is a literary chapter title based on the episode and the standard English rendering of 6.35; the Bengali verse itself simply says that one year passed in this way.</w:t>
      </w:r>
    </w:p>
    <w:p>
      <w:pPr>
        <w:ind w:left="259" w:hanging="173"/>
      </w:pPr>
      <w:r>
        <w:rPr>
          <w:b/>
        </w:rPr>
        <w:t xml:space="preserve">• </w:t>
      </w:r>
      <w:r>
        <w:t>The wife is not named or described independently; the 'apsarā-sama' comparison occurs in Govardhana’s speech and should not be turned into an invented biography of her.</w:t>
      </w:r>
    </w:p>
    <w:p>
      <w:pPr>
        <w:ind w:left="259" w:hanging="173"/>
      </w:pPr>
      <w:r>
        <w:rPr>
          <w:b/>
        </w:rPr>
        <w:t xml:space="preserve">• </w:t>
      </w:r>
      <w:r>
        <w:t>Raghunātha’s diplomacy is a project synthesis grounded in 6.25–34, not a technical title assigned by Kṛṣṇadāsa.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RDGB-03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RDGB-03 — The Businessman’s Year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