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 A Scholarly-Devotional Biography</w:t>
      </w:r>
    </w:p>
    <w:p>
      <w:pPr>
        <w:jc w:val="center"/>
      </w:pPr>
      <w:r>
        <w:rPr>
          <w:b/>
          <w:color w:val="7B2638"/>
          <w:sz w:val="54"/>
        </w:rPr>
        <w:t>RDGB-06</w:t>
      </w:r>
    </w:p>
    <w:p>
      <w:pPr>
        <w:pStyle w:val="Title"/>
        <w:jc w:val="center"/>
      </w:pPr>
      <w:r>
        <w:t>Svarūpera Raghu</w:t>
      </w:r>
    </w:p>
    <w:p>
      <w:pPr>
        <w:pStyle w:val="Subtitle"/>
        <w:jc w:val="center"/>
      </w:pPr>
      <w:r>
        <w:t>The instruction he lived</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05" w:type="dxa"/>
              <w:start w:w="150" w:type="dxa"/>
              <w:bottom w:w="105" w:type="dxa"/>
              <w:end w:w="150" w:type="dxa"/>
            </w:tcMar>
          </w:tcPr>
          <w:p>
            <w:r>
              <w:rPr>
                <w:b/>
                <w:color w:val="7B2638"/>
              </w:rPr>
              <w:t xml:space="preserve">FINAL STATUS  </w:t>
            </w:r>
            <w:r>
              <w:t>Reader-facing Chapter 6 draft. The controlling source is Caitanya-caritāmṛta Antya 6.206–241, checked against the current VedaBase Bengali witness. The chapter ends before the later stages of Raghunātha’s progressive renunciation, which will be treated separately. Mahāprabhu’s concise instruction is kept inseparable from the fact that He explicitly appointed Svarūpa Dāmodara as Raghunātha’s instructor.</w:t>
            </w:r>
          </w:p>
        </w:tc>
      </w:tr>
    </w:tbl>
    <w:p>
      <w:r>
        <w:br w:type="page"/>
      </w:r>
    </w:p>
    <w:p>
      <w:pPr>
        <w:pStyle w:val="Heading1"/>
        <w:keepNext w:val="1"/>
        <w:keepLines w:val="1"/>
      </w:pPr>
      <w:r>
        <w:t>Svarūpera Raghu</w:t>
      </w:r>
    </w:p>
    <w:p>
      <w:pPr>
        <w:ind w:firstLine="317"/>
      </w:pPr>
      <w:r>
        <w:t>Mahāprabhu had placed Raghunātha’s hand into Svarūpa Dāmodara’s hand. The years of trying to reach Purī were over. What remained was to learn how to live there.</w:t>
      </w:r>
    </w:p>
    <w:p>
      <w:pPr>
        <w:ind w:firstLine="317"/>
      </w:pPr>
      <w:r>
        <w:t>Kṛṣṇadāsa Kavirāja begins the next movement with a sentence of tenderness: “I cannot describe Caitanya’s affection for His devotees.” Seeing what the journey had done to Raghunātha’s body, Mahāprabhu turned immediately to Govinda, His personal servant. Raghunātha had fasted and undergone hardship on the road, He said; for some days, take good care of him and see that he is nourished.</w:t>
      </w:r>
    </w:p>
    <w:p>
      <w:pPr>
        <w:ind w:firstLine="317"/>
      </w:pPr>
      <w:r>
        <w:t>The first instruction was therefore not austerity. It was care.</w:t>
      </w:r>
    </w:p>
    <w:p>
      <w:pPr>
        <w:ind w:firstLine="317"/>
      </w:pPr>
      <w:r>
        <w:t>Mahāprabhu told Raghunātha to bathe in the sea, see Lord Jagannātha, return, and eat. Raghunātha obeyed. He went to the ocean, bathed, stood before Jagannātha, and came back to Govinda. Govinda then placed before him the remnants of Mahāprabhu’s own meal. Raghunātha accepted them with joy.</w:t>
      </w:r>
    </w:p>
    <w:p>
      <w:pPr>
        <w:ind w:firstLine="317"/>
      </w:pPr>
      <w:r>
        <w:t>For five days he remained at Svarūpa Dāmodara’s feet while Govinda continued to bring him Mahāprabhu’s prasāda. Nothing in those first days resembles self-punishment. Raghunātha had arrived exhausted; Mahāprabhu saw the exhaustion and arranged nourishment. The man who would later become famous for astonishing austerity first entered his renounced life by receiving food from another’s hand.</w:t>
      </w:r>
    </w:p>
    <w:p>
      <w:pPr>
        <w:ind w:firstLine="317"/>
      </w:pPr>
      <w:r>
        <w:t>On the sixth day, Raghunātha stopped accepting the plate Govinda brought.</w:t>
      </w:r>
    </w:p>
    <w:p>
      <w:pPr>
        <w:ind w:firstLine="317"/>
      </w:pPr>
      <w:r>
        <w:t>After the puṣpa-añjali ceremony at Jagannātha’s temple, he began standing at the Siṁha-dvāra, the Lion Gate, waiting for alms. The servants connected with Jagannātha’s service would return home at night. When they saw a Vaiṣṇava standing there in need of food, they might arrange something for him from the food sellers. Kṛṣṇadāsa explains that this was an established way for a niṣkiñcana devotee—someone with no independent support—to maintain life.</w:t>
      </w:r>
    </w:p>
    <w:p>
      <w:pPr>
        <w:ind w:firstLine="317"/>
      </w:pPr>
      <w:r>
        <w:t>The change was not hidden from Mahāprabhu. Govinda reported that Raghunātha no longer took prasāda from him but stood at the Siṁha-dvāra and begged at night. Mahāprabhu was pleased.</w:t>
      </w:r>
    </w:p>
    <w:p>
      <w:pPr>
        <w:ind w:firstLine="317"/>
      </w:pPr>
      <w:r>
        <w:t>That pleasure must be read together with the whole story. At Śāntipura, Mahāprabhu had forbidden the same man from displaying premature renunciation. Now, after obedience, Pānihāṭi, Nityānanda’s blessing, the final escape, and formal shelter under Svarūpa, Mahāprabhu approved when Raghunātha reduced dependence further. The difference was not simply that begging was holier than household life. The difference was ripeness.</w:t>
      </w:r>
    </w:p>
    <w:p>
      <w:pPr>
        <w:ind w:firstLine="317"/>
      </w:pPr>
      <w:r>
        <w:t>Mahāprabhu then spoke generally about the life of a vairāgī. A renunciant, He said, should always perform nāma-saṅkīrtana and maintain the body by whatever alms come. A renunciant who remains dependent upon particular people will not reach the desired goal. One who renounces externally but remains driven by the tongue loses the deeper purpose and becomes controlled by taste.</w:t>
      </w:r>
    </w:p>
    <w:p>
      <w:pPr>
        <w:ind w:firstLine="317"/>
      </w:pPr>
      <w:r>
        <w:t>The center of the teaching was not hunger. It was freedom for the name.</w:t>
      </w:r>
    </w:p>
    <w:p>
      <w:pPr>
        <w:ind w:firstLine="317"/>
      </w:pPr>
      <w:r>
        <w:t>Again Mahāprabhu said: the duty of the vairāgī is sadā nāma-saṅkīrtana—always chanting the holy name. Food has a smaller role: enough leaves, vegetables, fruits or roots to keep the belly alive. The striking asymmetry is important. The body is maintained; nāma is the life.</w:t>
      </w:r>
    </w:p>
    <w:p>
      <w:pPr>
        <w:ind w:firstLine="317"/>
      </w:pPr>
      <w:r>
        <w:t>But Raghunātha still had a question that begging could not answer. He had escaped his house. Why had he been delivered? What exactly was he supposed to do now?</w:t>
      </w:r>
    </w:p>
    <w:p>
      <w:pPr>
        <w:ind w:firstLine="317"/>
      </w:pPr>
      <w:r>
        <w:t>He did not go directly to Mahāprabhu and speak freely. Kṛṣṇadāsa says that in the Lord’s presence Raghunātha hardly spoke at all. When he needed to express his heart, he did so through Svarūpa Dāmodara and Govinda. So he went to Svarūpa’s feet and asked about his duty: “I do not know the purpose for which I was made to leave home. What is my responsibility? Please instruct me.”</w:t>
      </w:r>
    </w:p>
    <w:p>
      <w:pPr>
        <w:ind w:firstLine="317"/>
      </w:pPr>
      <w:r>
        <w:t>Svarūpa carried the question to Mahāprabhu.</w:t>
      </w:r>
    </w:p>
    <w:p>
      <w:pPr>
        <w:ind w:firstLine="317"/>
      </w:pPr>
      <w:r>
        <w:t>Mahāprabhu smiled.</w:t>
      </w:r>
    </w:p>
    <w:p>
      <w:pPr>
        <w:ind w:firstLine="317"/>
      </w:pPr>
      <w:r>
        <w:t>His first answer was almost to refuse the premise. “I have already given you Svarūpa as your instructor.” Learn sādhya and sādhana from him, Mahāprabhu said—the truth of the goal and the truth of the means. Then He made an astonishingly humble statement about His own intimate companion: “I do not know as much as he knows.”</w:t>
      </w:r>
    </w:p>
    <w:p>
      <w:pPr>
        <w:ind w:firstLine="317"/>
      </w:pPr>
      <w:r>
        <w:t>That sentence defines the educational structure of Raghunātha’s life in Purī. Mahāprabhu was not creating an independent ascetic whose spiritual life consisted only of private inspiration. He had deliberately placed Raghunātha under Svarūpa and expected him to learn there.</w:t>
      </w:r>
    </w:p>
    <w:p>
      <w:pPr>
        <w:ind w:firstLine="317"/>
      </w:pPr>
      <w:r>
        <w:t>Still, Mahāprabhu continued: if you have faith in My instruction and want words directly from Me, then hold to these.</w:t>
      </w:r>
    </w:p>
    <w:p>
      <w:pPr>
        <w:ind w:firstLine="317"/>
      </w:pPr>
      <w:r>
        <w:t>What followed occupies only a few lines.</w:t>
      </w:r>
    </w:p>
    <w:p>
      <w:pPr>
        <w:ind w:firstLine="317"/>
      </w:pPr>
      <w:r>
        <w:t>Do not listen to grāmya-kathā. Do not speak grāmya-vārtā. The words are broader than a prohibition against one particular topic; they turn Raghunātha’s ears and speech away from the current of ordinary worldly conversation. Do not eat bhāla—fine, luxurious, highly pleasing food. Do not dress bhāla—finely. The heir of Saptagrāma was not to rebuild a refined version of the life he had left.</w:t>
      </w:r>
    </w:p>
    <w:p>
      <w:pPr>
        <w:ind w:firstLine="317"/>
      </w:pPr>
      <w:r>
        <w:t>Then Mahāprabhu moved from restraint to positive practice: become amānī and mānada—do not seek honor for yourself, and give honor to others. Always take Kṛṣṇa’s name.</w:t>
      </w:r>
    </w:p>
    <w:p>
      <w:pPr>
        <w:ind w:firstLine="317"/>
      </w:pPr>
      <w:r>
        <w:t>And then, in one line, Purī opened into Vraja.</w:t>
      </w:r>
    </w:p>
    <w:p>
      <w:pPr>
        <w:ind w:firstLine="317"/>
      </w:pPr>
      <w:r>
        <w:t>vraje rādhā-kṛṣṇa-sevā mānase karibe—“In Vraja, serve Rādhā and Kṛṣṇa within the mind.”</w:t>
      </w:r>
    </w:p>
    <w:p>
      <w:pPr>
        <w:ind w:firstLine="317"/>
      </w:pPr>
      <w:r>
        <w:t>The sentence is one of the great biographical keys to Raghunātha’s later life. His eventual residence at Govardhana and Rādhā-kuṇḍa did not begin only when his feet reached Vraja. Mahāprabhu had already placed Vraja inside his practice in Purī. Mental service to Rādhā-Kṛṣṇa was not a late invention of the old Gosvāmī at the kuṇḍa. It was part of the instruction he received while living under Svarūpa Dāmodara.</w:t>
      </w:r>
    </w:p>
    <w:p>
      <w:pPr>
        <w:ind w:firstLine="317"/>
      </w:pPr>
      <w:r>
        <w:t>Mahāprabhu then quoted the verse that would become one of the defining summaries of His teaching: one should be humbler than grass, more tolerant than a tree, free from the demand for personal honor, ready to honor others—and in such a condition Hari can be chanted always.</w:t>
      </w:r>
    </w:p>
    <w:p>
      <w:pPr>
        <w:ind w:firstLine="317"/>
      </w:pPr>
      <w:r>
        <w:t>Nāma, humility, simplicity, and mānasī-sevā were not four disconnected practices. They formed a single architecture. Ordinary talk was reduced so remembrance could deepen. Luxury was reduced so the senses would not occupy the center. The hunger for honor was reduced so nāma could continue. And within that purified attention, Rādhā-Kṛṣṇa were to be served in Vraja.</w:t>
      </w:r>
    </w:p>
    <w:p>
      <w:pPr>
        <w:ind w:firstLine="317"/>
      </w:pPr>
      <w:r>
        <w:t>Mahāprabhu immediately refused to let those few sentences become a complete handbook detached from relationship. “This is the instruction I have given in brief,” He said. “You will receive its details from Svarūpa.”</w:t>
      </w:r>
    </w:p>
    <w:p>
      <w:pPr>
        <w:ind w:firstLine="317"/>
      </w:pPr>
      <w:r>
        <w:t>Raghunātha heard the words, bowed at Mahāprabhu’s feet, and was embraced. Then Mahāprabhu again entrusted him to Svarūpa Dāmodara. Kṛṣṇadāsa says that from then on Raghunātha rendered antaraṅga-sevā with Svarūpa—confidential, inward service.</w:t>
      </w:r>
    </w:p>
    <w:p>
      <w:pPr>
        <w:ind w:firstLine="317"/>
      </w:pPr>
      <w:r>
        <w:t>This is the proper beginning of “Svarūpera Raghu.” The name was not a sentimental nickname. It described a way of living. Mahāprabhu gave the essential direction; Svarūpa taught its intimate form. Raghunātha’s humility before the Lord, his silence, his renunciation, his absorption in nāma, and his mental life in Vraja all matured inside that relationship.</w:t>
      </w:r>
    </w:p>
    <w:p>
      <w:pPr>
        <w:ind w:firstLine="317"/>
      </w:pPr>
      <w:r>
        <w:t>Much later, at Rādhā-kuṇḍa, Raghunātha would write prayers in which Svarūpa, Rūpa and Sanātana remained permanently present in his devotional genealogy. He would ask Govardhana for residence, call Rādhā-kuṇḍa his shelter, and pour out detailed prayers for intimate service to Rādhā. None of that requires us to imagine that Purī was left behind when Vraja began. The later Raghunātha grew from the instruction given here.</w:t>
      </w:r>
    </w:p>
    <w:p>
      <w:pPr>
        <w:ind w:firstLine="317"/>
      </w:pPr>
      <w:r>
        <w:t>He had reached Caitanya’s feet. Now he had to become the person who could remain there.</w:t>
      </w:r>
    </w:p>
    <w:p>
      <w:r>
        <w:br w:type="page"/>
      </w:r>
    </w:p>
    <w:p>
      <w:pPr>
        <w:pStyle w:val="Heading1"/>
        <w:keepNext w:val="1"/>
        <w:keepLines w:val="1"/>
      </w:pPr>
      <w:r>
        <w:t>SCHOLARLY CONTROL APPARATUS</w:t>
      </w:r>
    </w:p>
    <w:p>
      <w:pPr>
        <w:pStyle w:val="Heading2"/>
        <w:keepNext w:val="1"/>
        <w:keepLines w:val="1"/>
      </w:pPr>
      <w: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cantSplit/>
        </w:trPr>
        <w:tc>
          <w:tcPr>
            <w:tcW w:type="dxa" w:w="2513"/>
            <w:shd w:fill="7B2638"/>
            <w:tcMar>
              <w:top w:w="55" w:type="dxa"/>
              <w:start w:w="65" w:type="dxa"/>
              <w:bottom w:w="55" w:type="dxa"/>
              <w:end w:w="65" w:type="dxa"/>
            </w:tcMar>
          </w:tcPr>
          <w:p>
            <w:r>
              <w:rPr>
                <w:b/>
                <w:color w:val="FFFFFF"/>
              </w:rPr>
              <w:t>Narrative unit</w:t>
            </w:r>
          </w:p>
        </w:tc>
        <w:tc>
          <w:tcPr>
            <w:tcW w:type="dxa" w:w="2513"/>
            <w:shd w:fill="7B2638"/>
            <w:tcMar>
              <w:top w:w="55" w:type="dxa"/>
              <w:start w:w="65" w:type="dxa"/>
              <w:bottom w:w="55" w:type="dxa"/>
              <w:end w:w="65" w:type="dxa"/>
            </w:tcMar>
          </w:tcPr>
          <w:p>
            <w:r>
              <w:rPr>
                <w:b/>
                <w:color w:val="FFFFFF"/>
              </w:rPr>
              <w:t>Locus</w:t>
            </w:r>
          </w:p>
        </w:tc>
        <w:tc>
          <w:tcPr>
            <w:tcW w:type="dxa" w:w="2513"/>
            <w:shd w:fill="7B2638"/>
            <w:tcMar>
              <w:top w:w="55" w:type="dxa"/>
              <w:start w:w="65" w:type="dxa"/>
              <w:bottom w:w="55" w:type="dxa"/>
              <w:end w:w="65" w:type="dxa"/>
            </w:tcMar>
          </w:tcPr>
          <w:p>
            <w:r>
              <w:rPr>
                <w:b/>
                <w:color w:val="FFFFFF"/>
              </w:rPr>
              <w:t>Layer</w:t>
            </w:r>
          </w:p>
        </w:tc>
        <w:tc>
          <w:tcPr>
            <w:tcW w:type="dxa" w:w="2513"/>
            <w:shd w:fill="7B2638"/>
            <w:tcMar>
              <w:top w:w="55" w:type="dxa"/>
              <w:start w:w="65" w:type="dxa"/>
              <w:bottom w:w="55" w:type="dxa"/>
              <w:end w:w="65" w:type="dxa"/>
            </w:tcMar>
          </w:tcPr>
          <w:p>
            <w:r>
              <w:rPr>
                <w:b/>
                <w:color w:val="FFFFFF"/>
              </w:rPr>
              <w:t>Control</w:t>
            </w:r>
          </w:p>
        </w:tc>
      </w:tr>
      <w:tr>
        <w:trPr>
          <w:cantSplit w:val="1"/>
        </w:trPr>
        <w:tc>
          <w:tcPr>
            <w:tcW w:type="dxa" w:w="2513"/>
            <w:tcMar>
              <w:top w:w="50" w:type="dxa"/>
              <w:start w:w="60" w:type="dxa"/>
              <w:bottom w:w="50" w:type="dxa"/>
              <w:end w:w="60" w:type="dxa"/>
            </w:tcMar>
            <w:vAlign w:val="top"/>
          </w:tcPr>
          <w:p>
            <w:r>
              <w:t>Mahāprabhu orders Govinda to nourish Raghunātha after travel</w:t>
            </w:r>
          </w:p>
        </w:tc>
        <w:tc>
          <w:tcPr>
            <w:tcW w:type="dxa" w:w="2513"/>
            <w:tcMar>
              <w:top w:w="50" w:type="dxa"/>
              <w:start w:w="60" w:type="dxa"/>
              <w:bottom w:w="50" w:type="dxa"/>
              <w:end w:w="60" w:type="dxa"/>
            </w:tcMar>
            <w:vAlign w:val="top"/>
          </w:tcPr>
          <w:p>
            <w:r>
              <w:t>CC Antya 6.206–207</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The first post-escape act is compassionate care, not imposed austerity.</w:t>
            </w:r>
          </w:p>
        </w:tc>
      </w:tr>
      <w:tr>
        <w:trPr>
          <w:cantSplit w:val="1"/>
        </w:trPr>
        <w:tc>
          <w:tcPr>
            <w:tcW w:type="dxa" w:w="2513"/>
            <w:tcMar>
              <w:top w:w="50" w:type="dxa"/>
              <w:start w:w="60" w:type="dxa"/>
              <w:bottom w:w="50" w:type="dxa"/>
              <w:end w:w="60" w:type="dxa"/>
            </w:tcMar>
            <w:vAlign w:val="top"/>
          </w:tcPr>
          <w:p>
            <w:r>
              <w:t>Sea bath, Jagannātha darśana, return for meal</w:t>
            </w:r>
          </w:p>
        </w:tc>
        <w:tc>
          <w:tcPr>
            <w:tcW w:type="dxa" w:w="2513"/>
            <w:tcMar>
              <w:top w:w="50" w:type="dxa"/>
              <w:start w:w="60" w:type="dxa"/>
              <w:bottom w:w="50" w:type="dxa"/>
              <w:end w:w="60" w:type="dxa"/>
            </w:tcMar>
            <w:vAlign w:val="top"/>
          </w:tcPr>
          <w:p>
            <w:r>
              <w:t>6.208–212</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Exact first-day sequence.</w:t>
            </w:r>
          </w:p>
        </w:tc>
      </w:tr>
      <w:tr>
        <w:trPr>
          <w:cantSplit w:val="1"/>
        </w:trPr>
        <w:tc>
          <w:tcPr>
            <w:tcW w:type="dxa" w:w="2513"/>
            <w:tcMar>
              <w:top w:w="50" w:type="dxa"/>
              <w:start w:w="60" w:type="dxa"/>
              <w:bottom w:w="50" w:type="dxa"/>
              <w:end w:w="60" w:type="dxa"/>
            </w:tcMar>
            <w:vAlign w:val="top"/>
          </w:tcPr>
          <w:p>
            <w:r>
              <w:t>Five days under Svarūpa with Mahāprabhu’s remnants</w:t>
            </w:r>
          </w:p>
        </w:tc>
        <w:tc>
          <w:tcPr>
            <w:tcW w:type="dxa" w:w="2513"/>
            <w:tcMar>
              <w:top w:w="50" w:type="dxa"/>
              <w:start w:w="60" w:type="dxa"/>
              <w:bottom w:w="50" w:type="dxa"/>
              <w:end w:w="60" w:type="dxa"/>
            </w:tcMar>
            <w:vAlign w:val="top"/>
          </w:tcPr>
          <w:p>
            <w:r>
              <w:t>6.213</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Five-day period is explicit.</w:t>
            </w:r>
          </w:p>
        </w:tc>
      </w:tr>
      <w:tr>
        <w:trPr>
          <w:cantSplit w:val="1"/>
        </w:trPr>
        <w:tc>
          <w:tcPr>
            <w:tcW w:type="dxa" w:w="2513"/>
            <w:tcMar>
              <w:top w:w="50" w:type="dxa"/>
              <w:start w:w="60" w:type="dxa"/>
              <w:bottom w:w="50" w:type="dxa"/>
              <w:end w:w="60" w:type="dxa"/>
            </w:tcMar>
            <w:vAlign w:val="top"/>
          </w:tcPr>
          <w:p>
            <w:r>
              <w:t>Sixth day: begins begging at Siṁha-dvāra</w:t>
            </w:r>
          </w:p>
        </w:tc>
        <w:tc>
          <w:tcPr>
            <w:tcW w:type="dxa" w:w="2513"/>
            <w:tcMar>
              <w:top w:w="50" w:type="dxa"/>
              <w:start w:w="60" w:type="dxa"/>
              <w:bottom w:w="50" w:type="dxa"/>
              <w:end w:w="60" w:type="dxa"/>
            </w:tcMar>
            <w:vAlign w:val="top"/>
          </w:tcPr>
          <w:p>
            <w:r>
              <w:t>6.214–219</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A recognized niṣkiñcana mode of support; do not generalize as a universal rule for all devotees.</w:t>
            </w:r>
          </w:p>
        </w:tc>
      </w:tr>
      <w:tr>
        <w:trPr>
          <w:cantSplit w:val="1"/>
        </w:trPr>
        <w:tc>
          <w:tcPr>
            <w:tcW w:type="dxa" w:w="2513"/>
            <w:tcMar>
              <w:top w:w="50" w:type="dxa"/>
              <w:start w:w="60" w:type="dxa"/>
              <w:bottom w:w="50" w:type="dxa"/>
              <w:end w:w="60" w:type="dxa"/>
            </w:tcMar>
            <w:vAlign w:val="top"/>
          </w:tcPr>
          <w:p>
            <w:r>
              <w:t>Mahāprabhu approves Raghunātha’s renunciant conduct</w:t>
            </w:r>
          </w:p>
        </w:tc>
        <w:tc>
          <w:tcPr>
            <w:tcW w:type="dxa" w:w="2513"/>
            <w:tcMar>
              <w:top w:w="50" w:type="dxa"/>
              <w:start w:w="60" w:type="dxa"/>
              <w:bottom w:w="50" w:type="dxa"/>
              <w:end w:w="60" w:type="dxa"/>
            </w:tcMar>
            <w:vAlign w:val="top"/>
          </w:tcPr>
          <w:p>
            <w:r>
              <w:t>6.220–222</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Read together with earlier prohibition of markaṭa-vairāgya.</w:t>
            </w:r>
          </w:p>
        </w:tc>
      </w:tr>
      <w:tr>
        <w:trPr>
          <w:cantSplit w:val="1"/>
        </w:trPr>
        <w:tc>
          <w:tcPr>
            <w:tcW w:type="dxa" w:w="2513"/>
            <w:tcMar>
              <w:top w:w="50" w:type="dxa"/>
              <w:start w:w="60" w:type="dxa"/>
              <w:bottom w:w="50" w:type="dxa"/>
              <w:end w:w="60" w:type="dxa"/>
            </w:tcMar>
            <w:vAlign w:val="top"/>
          </w:tcPr>
          <w:p>
            <w:r>
              <w:t>General instructions for a vairāgī</w:t>
            </w:r>
          </w:p>
        </w:tc>
        <w:tc>
          <w:tcPr>
            <w:tcW w:type="dxa" w:w="2513"/>
            <w:tcMar>
              <w:top w:w="50" w:type="dxa"/>
              <w:start w:w="60" w:type="dxa"/>
              <w:bottom w:w="50" w:type="dxa"/>
              <w:end w:w="60" w:type="dxa"/>
            </w:tcMar>
            <w:vAlign w:val="top"/>
          </w:tcPr>
          <w:p>
            <w:r>
              <w:t>6.223–227</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Nāma is central; bodily maintenance is minimal. Not a universal medical/diet prescription.</w:t>
            </w:r>
          </w:p>
        </w:tc>
      </w:tr>
      <w:tr>
        <w:trPr>
          <w:cantSplit w:val="1"/>
        </w:trPr>
        <w:tc>
          <w:tcPr>
            <w:tcW w:type="dxa" w:w="2513"/>
            <w:tcMar>
              <w:top w:w="50" w:type="dxa"/>
              <w:start w:w="60" w:type="dxa"/>
              <w:bottom w:w="50" w:type="dxa"/>
              <w:end w:w="60" w:type="dxa"/>
            </w:tcMar>
            <w:vAlign w:val="top"/>
          </w:tcPr>
          <w:p>
            <w:r>
              <w:t>Raghunātha asks his duty through Svarūpa/Govinda</w:t>
            </w:r>
          </w:p>
        </w:tc>
        <w:tc>
          <w:tcPr>
            <w:tcW w:type="dxa" w:w="2513"/>
            <w:tcMar>
              <w:top w:w="50" w:type="dxa"/>
              <w:start w:w="60" w:type="dxa"/>
              <w:bottom w:w="50" w:type="dxa"/>
              <w:end w:w="60" w:type="dxa"/>
            </w:tcMar>
            <w:vAlign w:val="top"/>
          </w:tcPr>
          <w:p>
            <w:r>
              <w:t>6.228–232</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His silence before Mahāprabhu and mediated speech are explicit.</w:t>
            </w:r>
          </w:p>
        </w:tc>
      </w:tr>
      <w:tr>
        <w:trPr>
          <w:cantSplit w:val="1"/>
        </w:trPr>
        <w:tc>
          <w:tcPr>
            <w:tcW w:type="dxa" w:w="2513"/>
            <w:tcMar>
              <w:top w:w="50" w:type="dxa"/>
              <w:start w:w="60" w:type="dxa"/>
              <w:bottom w:w="50" w:type="dxa"/>
              <w:end w:w="60" w:type="dxa"/>
            </w:tcMar>
            <w:vAlign w:val="top"/>
          </w:tcPr>
          <w:p>
            <w:r>
              <w:t>Mahāprabhu appoints Svarūpa as instructor</w:t>
            </w:r>
          </w:p>
        </w:tc>
        <w:tc>
          <w:tcPr>
            <w:tcW w:type="dxa" w:w="2513"/>
            <w:tcMar>
              <w:top w:w="50" w:type="dxa"/>
              <w:start w:w="60" w:type="dxa"/>
              <w:bottom w:w="50" w:type="dxa"/>
              <w:end w:w="60" w:type="dxa"/>
            </w:tcMar>
            <w:vAlign w:val="top"/>
          </w:tcPr>
          <w:p>
            <w:r>
              <w:t>6.233–235</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Structural control: direct instruction does not replace Svarūpa.</w:t>
            </w:r>
          </w:p>
        </w:tc>
      </w:tr>
      <w:tr>
        <w:trPr>
          <w:cantSplit w:val="1"/>
        </w:trPr>
        <w:tc>
          <w:tcPr>
            <w:tcW w:type="dxa" w:w="2513"/>
            <w:tcMar>
              <w:top w:w="50" w:type="dxa"/>
              <w:start w:w="60" w:type="dxa"/>
              <w:bottom w:w="50" w:type="dxa"/>
              <w:end w:w="60" w:type="dxa"/>
            </w:tcMar>
            <w:vAlign w:val="top"/>
          </w:tcPr>
          <w:p>
            <w:r>
              <w:t>No grāmya talk; simple food/clothing</w:t>
            </w:r>
          </w:p>
        </w:tc>
        <w:tc>
          <w:tcPr>
            <w:tcW w:type="dxa" w:w="2513"/>
            <w:tcMar>
              <w:top w:w="50" w:type="dxa"/>
              <w:start w:w="60" w:type="dxa"/>
              <w:bottom w:w="50" w:type="dxa"/>
              <w:end w:w="60" w:type="dxa"/>
            </w:tcMar>
            <w:vAlign w:val="top"/>
          </w:tcPr>
          <w:p>
            <w:r>
              <w:t>6.236</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Direct personal instruction in renounced context.</w:t>
            </w:r>
          </w:p>
        </w:tc>
      </w:tr>
      <w:tr>
        <w:trPr>
          <w:cantSplit w:val="1"/>
        </w:trPr>
        <w:tc>
          <w:tcPr>
            <w:tcW w:type="dxa" w:w="2513"/>
            <w:tcMar>
              <w:top w:w="50" w:type="dxa"/>
              <w:start w:w="60" w:type="dxa"/>
              <w:bottom w:w="50" w:type="dxa"/>
              <w:end w:w="60" w:type="dxa"/>
            </w:tcMar>
            <w:vAlign w:val="top"/>
          </w:tcPr>
          <w:p>
            <w:r>
              <w:t>amānī mānada; constant nāma; mental Rādhā-Kṛṣṇa service in Vraja</w:t>
            </w:r>
          </w:p>
        </w:tc>
        <w:tc>
          <w:tcPr>
            <w:tcW w:type="dxa" w:w="2513"/>
            <w:tcMar>
              <w:top w:w="50" w:type="dxa"/>
              <w:start w:w="60" w:type="dxa"/>
              <w:bottom w:w="50" w:type="dxa"/>
              <w:end w:w="60" w:type="dxa"/>
            </w:tcMar>
            <w:vAlign w:val="top"/>
          </w:tcPr>
          <w:p>
            <w:r>
              <w:t>6.237</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Core positive instruction; crucial for later Vraja biography.</w:t>
            </w:r>
          </w:p>
        </w:tc>
      </w:tr>
      <w:tr>
        <w:trPr>
          <w:cantSplit w:val="1"/>
        </w:trPr>
        <w:tc>
          <w:tcPr>
            <w:tcW w:type="dxa" w:w="2513"/>
            <w:tcMar>
              <w:top w:w="50" w:type="dxa"/>
              <w:start w:w="60" w:type="dxa"/>
              <w:bottom w:w="50" w:type="dxa"/>
              <w:end w:w="60" w:type="dxa"/>
            </w:tcMar>
            <w:vAlign w:val="top"/>
          </w:tcPr>
          <w:p>
            <w:r>
              <w:t>tṛṇād api su-nīcena</w:t>
            </w:r>
          </w:p>
        </w:tc>
        <w:tc>
          <w:tcPr>
            <w:tcW w:type="dxa" w:w="2513"/>
            <w:tcMar>
              <w:top w:w="50" w:type="dxa"/>
              <w:start w:w="60" w:type="dxa"/>
              <w:bottom w:w="50" w:type="dxa"/>
              <w:end w:w="60" w:type="dxa"/>
            </w:tcMar>
            <w:vAlign w:val="top"/>
          </w:tcPr>
          <w:p>
            <w:r>
              <w:t>6.239</w:t>
            </w:r>
          </w:p>
        </w:tc>
        <w:tc>
          <w:tcPr>
            <w:tcW w:type="dxa" w:w="2513"/>
            <w:tcMar>
              <w:top w:w="50" w:type="dxa"/>
              <w:start w:w="60" w:type="dxa"/>
              <w:bottom w:w="50" w:type="dxa"/>
              <w:end w:w="60" w:type="dxa"/>
            </w:tcMar>
            <w:vAlign w:val="top"/>
          </w:tcPr>
          <w:p>
            <w:r>
              <w:t>A2 quotation of Śikṣāṣṭaka 3</w:t>
            </w:r>
          </w:p>
        </w:tc>
        <w:tc>
          <w:tcPr>
            <w:tcW w:type="dxa" w:w="2513"/>
            <w:tcMar>
              <w:top w:w="50" w:type="dxa"/>
              <w:start w:w="60" w:type="dxa"/>
              <w:bottom w:w="50" w:type="dxa"/>
              <w:end w:w="60" w:type="dxa"/>
            </w:tcMar>
            <w:vAlign w:val="top"/>
          </w:tcPr>
          <w:p>
            <w:r>
              <w:t>Humility and constant kīrtana integrated.</w:t>
            </w:r>
          </w:p>
        </w:tc>
      </w:tr>
      <w:tr>
        <w:trPr>
          <w:cantSplit w:val="1"/>
        </w:trPr>
        <w:tc>
          <w:tcPr>
            <w:tcW w:type="dxa" w:w="2513"/>
            <w:tcMar>
              <w:top w:w="50" w:type="dxa"/>
              <w:start w:w="60" w:type="dxa"/>
              <w:bottom w:w="50" w:type="dxa"/>
              <w:end w:w="60" w:type="dxa"/>
            </w:tcMar>
            <w:vAlign w:val="top"/>
          </w:tcPr>
          <w:p>
            <w:r>
              <w:t>Embrace; re-entrusted to Svarūpa; antaraṅga-sevā</w:t>
            </w:r>
          </w:p>
        </w:tc>
        <w:tc>
          <w:tcPr>
            <w:tcW w:type="dxa" w:w="2513"/>
            <w:tcMar>
              <w:top w:w="50" w:type="dxa"/>
              <w:start w:w="60" w:type="dxa"/>
              <w:bottom w:w="50" w:type="dxa"/>
              <w:end w:w="60" w:type="dxa"/>
            </w:tcMar>
            <w:vAlign w:val="top"/>
          </w:tcPr>
          <w:p>
            <w:r>
              <w:t>6.240–241</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Proper endpoint of this chapter.</w:t>
            </w:r>
          </w:p>
        </w:tc>
      </w:tr>
    </w:tbl>
    <w:p>
      <w:pPr>
        <w:pStyle w:val="Heading2"/>
        <w:keepNext w:val="1"/>
        <w:keepLines w:val="1"/>
      </w:pPr>
      <w:r>
        <w:t>2. Primary quotation ledger</w:t>
      </w:r>
    </w:p>
    <w:p>
      <w:r>
        <w:rPr>
          <w:b/>
          <w:color w:val="7B2638"/>
        </w:rPr>
        <w:t>Caitanya-caritāmṛta, Antya 6.206–208</w:t>
      </w:r>
    </w:p>
    <w:p>
      <w:pPr>
        <w:ind w:left="389" w:right="259"/>
      </w:pPr>
      <w:r>
        <w:rPr>
          <w:i/>
        </w:rPr>
        <w:t>caitanyera bhakta-vātsalya kahite nā pāri</w:t>
        <w:br/>
        <w:t>govindere kahe raghunāthe dayā kari’ ||206||</w:t>
        <w:br/>
        <w:br/>
        <w:t>“pathe iṅha kariyāche bahuta laṅghana</w:t>
        <w:br/>
        <w:t>kata-dina kara ihāra bhāla santarpaṇa” ||207||</w:t>
        <w:br/>
        <w:br/>
        <w:t>raghunāthe kahe — “yāñā, kara sindhu-snāna</w:t>
        <w:br/>
        <w:t>jagannātha dekhi’ āsi’ karaha bhojana” ||208||</w:t>
      </w:r>
    </w:p>
    <w:p>
      <w:pPr>
        <w:ind w:left="389" w:right="259"/>
      </w:pPr>
      <w:r>
        <w:t>Kṛṣṇadāsa says he cannot properly describe Caitanya’s affection for His devotees. Out of mercy Mahāprabhu tells Govinda that Raghunātha has fasted and undergone hardship on the road, so Govinda should care for and nourish him for some days. Then the Lord tells Raghunātha to bathe in the sea, see Jagannātha, return, and eat.</w:t>
      </w:r>
    </w:p>
    <w:p>
      <w:pPr>
        <w:ind w:left="389"/>
      </w:pPr>
      <w:r>
        <w:rPr>
          <w:b/>
          <w:color w:val="7B2638"/>
        </w:rPr>
        <w:t xml:space="preserve">Research use — </w:t>
      </w:r>
      <w:r>
        <w:t>This packet controls the chapter’s opening claim that care precedes the later austerity.</w:t>
      </w:r>
    </w:p>
    <w:p>
      <w:r>
        <w:rPr>
          <w:b/>
          <w:color w:val="7B2638"/>
        </w:rPr>
        <w:t>Caitanya-caritāmṛta, Antya 6.211–214</w:t>
      </w:r>
    </w:p>
    <w:p>
      <w:pPr>
        <w:ind w:left="389" w:right="259"/>
      </w:pPr>
      <w:r>
        <w:rPr>
          <w:i/>
        </w:rPr>
        <w:t>raghunātha samudre yāñā snāna karilā</w:t>
        <w:br/>
        <w:t>jagannātha dekhi’ punaḥ govinda-pāśa āilā ||211||</w:t>
        <w:br/>
        <w:br/>
        <w:t>prabhura avaśiṣṭa pātra govinda tāṅre dilā</w:t>
        <w:br/>
        <w:t>ānandita hañā raghunātha prasāda pāilā ||212||</w:t>
        <w:br/>
        <w:br/>
        <w:t>ei-mata rahe teṅha svarūpa-caraṇe</w:t>
        <w:br/>
        <w:t>govinda prasāda tāṅre dila pañca dine ||213||</w:t>
        <w:br/>
        <w:br/>
        <w:t>āra dina haite ‘puṣpa-añjali’ dekhiyā</w:t>
        <w:br/>
        <w:t>siṁha-dvāre khāḍā rahe bhikṣāra lāgiyā ||214||</w:t>
      </w:r>
    </w:p>
    <w:p>
      <w:pPr>
        <w:ind w:left="389" w:right="259"/>
      </w:pPr>
      <w:r>
        <w:t>Raghunātha bathed in the sea, saw Jagannātha and returned to Govinda. Govinda gave him Mahāprabhu’s remnants, which he received joyfully. He remained under Svarūpa’s shelter, and Govinda supplied Mahāprabhu’s prasāda for five days. From the next day he began standing at the Siṁha-dvāra for alms after puṣpa-añjali.</w:t>
      </w:r>
    </w:p>
    <w:p>
      <w:pPr>
        <w:ind w:left="389"/>
      </w:pPr>
      <w:r>
        <w:rPr>
          <w:b/>
          <w:color w:val="7B2638"/>
        </w:rPr>
        <w:t xml:space="preserve">Research use — </w:t>
      </w:r>
      <w:r>
        <w:t>The transition occurs after five days; the standard translation therefore describes the Siṁha-dvāra practice as beginning on the sixth day.</w:t>
      </w:r>
    </w:p>
    <w:p>
      <w:r>
        <w:rPr>
          <w:b/>
          <w:color w:val="7B2638"/>
        </w:rPr>
        <w:t>Caitanya-caritāmṛta, Antya 6.217–218</w:t>
      </w:r>
    </w:p>
    <w:p>
      <w:pPr>
        <w:ind w:left="389" w:right="259"/>
      </w:pPr>
      <w:r>
        <w:rPr>
          <w:i/>
        </w:rPr>
        <w:t>ei-mata sarva-kāla āche vyavahāra</w:t>
        <w:br/>
        <w:t>niṣkiñcana bhakta khāḍā haya siṁha-dvāra ||217||</w:t>
        <w:br/>
        <w:br/>
        <w:t>sarva-dina karena vaiṣṇava nāma-saṅkīrtana</w:t>
        <w:br/>
        <w:t>svacchande karena jagannātha daraśana ||218||</w:t>
      </w:r>
    </w:p>
    <w:p>
      <w:pPr>
        <w:ind w:left="389" w:right="259"/>
      </w:pPr>
      <w:r>
        <w:t>Kṛṣṇadāsa explains this as an established practice: a niṣkiñcana devotee stands at the Siṁha-dvāra. Such a Vaiṣṇava chants the holy name throughout the day and freely takes Jagannātha’s darśana.</w:t>
      </w:r>
    </w:p>
    <w:p>
      <w:pPr>
        <w:ind w:left="389"/>
      </w:pPr>
      <w:r>
        <w:rPr>
          <w:b/>
          <w:color w:val="7B2638"/>
        </w:rPr>
        <w:t xml:space="preserve">Research use — </w:t>
      </w:r>
      <w:r>
        <w:t>Useful for the narrative theology of dependence and nāma; not a timeless legal rule for every pilgrim or renunciant.</w:t>
      </w:r>
    </w:p>
    <w:p>
      <w:r>
        <w:rPr>
          <w:b/>
          <w:color w:val="7B2638"/>
        </w:rPr>
        <w:t>Caitanya-caritāmṛta, Antya 6.221–227</w:t>
      </w:r>
    </w:p>
    <w:p>
      <w:pPr>
        <w:ind w:left="389" w:right="259"/>
      </w:pPr>
      <w:r>
        <w:rPr>
          <w:i/>
        </w:rPr>
        <w:t>prabhure govinda kahe, — “raghunātha ‘prasāda’ nā laya</w:t>
        <w:br/>
        <w:t>rātrye siṁha-dvāre khāḍā hañā māgi’ khāya” ||221||</w:t>
        <w:br/>
        <w:br/>
        <w:t>śuni’ tuṣṭa hañā prabhu kahite lāgila</w:t>
        <w:br/>
        <w:t>“bhāla kaila, vairāgīra dharma ācarila ||222||</w:t>
        <w:br/>
        <w:br/>
        <w:t>vairāgī karibe sadā nāma-saṅkīrtana</w:t>
        <w:br/>
        <w:t>māgiyā khāñā kare jīvana rakṣaṇa ||223||</w:t>
        <w:br/>
        <w:br/>
        <w:t>vairāgī hañā yebā kare parāpekṣā</w:t>
        <w:br/>
        <w:t>kārya-siddhi nahe, kṛṣṇa karena upekṣā ||224||</w:t>
        <w:br/>
        <w:br/>
        <w:t>vairāgī hañā kare jihvāra lālasa</w:t>
        <w:br/>
        <w:t>paramārtha yāya, āra haya rasera vaśa ||225||</w:t>
        <w:br/>
        <w:br/>
        <w:t>vairāgīra kṛtya — sadā nāma-saṅkīrtana</w:t>
        <w:br/>
        <w:t>śāka-patra-phala-mūle udara-bharaṇa ||226||</w:t>
        <w:br/>
        <w:br/>
        <w:t>jihvāra lālase yei iti-uti dhāya</w:t>
        <w:br/>
        <w:t>śiśnodara-parāyaṇa kṛṣṇa nāhi pāya” ||227||</w:t>
      </w:r>
    </w:p>
    <w:p>
      <w:pPr>
        <w:ind w:left="389" w:right="259"/>
      </w:pPr>
      <w:r>
        <w:t>Govinda reports that Raghunātha no longer takes prasāda from him but begs at the Siṁha-dvāra. Mahāprabhu is pleased and says he has acted properly for a vairāgī: always chant the holy name, sustain life by alms, avoid dependence on particular persons, do not become a servant of the tongue, and maintain the belly simply. One who runs here and there for the tongue and becomes centered on belly and sexuality does not attain Kṛṣṇa.</w:t>
      </w:r>
    </w:p>
    <w:p>
      <w:pPr>
        <w:ind w:left="389"/>
      </w:pPr>
      <w:r>
        <w:rPr>
          <w:b/>
          <w:color w:val="7B2638"/>
        </w:rPr>
        <w:t xml:space="preserve">Research use — </w:t>
      </w:r>
      <w:r>
        <w:t>These are renunciant instructions in context. The biography should not convert them into a universal bodily regimen for all devotees.</w:t>
      </w:r>
    </w:p>
    <w:p>
      <w:r>
        <w:rPr>
          <w:b/>
          <w:color w:val="7B2638"/>
        </w:rPr>
        <w:t>Caitanya-caritāmṛta, Antya 6.228–230</w:t>
      </w:r>
    </w:p>
    <w:p>
      <w:pPr>
        <w:ind w:left="389" w:right="259"/>
      </w:pPr>
      <w:r>
        <w:rPr>
          <w:i/>
        </w:rPr>
        <w:t>āra dina raghunātha svarūpa-caraṇe</w:t>
        <w:br/>
        <w:t>āpanāra kṛtya lāgi’ kailā nivedane ||228||</w:t>
        <w:br/>
        <w:br/>
        <w:t>“ki lāgi’ chāḍāilā ghara, nā jāni uddeśa</w:t>
        <w:br/>
        <w:t>ki mora kartavya, prabhu kara upadeśa” ||229||</w:t>
        <w:br/>
        <w:br/>
        <w:t>prabhura āge kathā-mātra nā kahe raghunātha</w:t>
        <w:br/>
        <w:t>svarūpa-govinda-dvārā kahāya nija-bāt ||230||</w:t>
      </w:r>
    </w:p>
    <w:p>
      <w:pPr>
        <w:ind w:left="389" w:right="259"/>
      </w:pPr>
      <w:r>
        <w:t>The next day Raghunātha submitted his question at Svarūpa’s feet: “I do not know the purpose for which I was made to leave home. What is my duty? Please instruct me.” Kṛṣṇadāsa adds that Raghunātha hardly spoke directly before Mahāprabhu but communicated his intentions through Svarūpa and Govinda.</w:t>
      </w:r>
    </w:p>
    <w:p>
      <w:pPr>
        <w:ind w:left="389"/>
      </w:pPr>
      <w:r>
        <w:rPr>
          <w:b/>
          <w:color w:val="7B2638"/>
        </w:rPr>
        <w:t xml:space="preserve">Research use — </w:t>
      </w:r>
      <w:r>
        <w:t>This mediated speech is an important character and relationship detail.</w:t>
      </w:r>
    </w:p>
    <w:p>
      <w:r>
        <w:rPr>
          <w:b/>
          <w:color w:val="7B2638"/>
        </w:rPr>
        <w:t>Caitanya-caritāmṛta, Antya 6.233–235</w:t>
      </w:r>
    </w:p>
    <w:p>
      <w:pPr>
        <w:ind w:left="389" w:right="259"/>
      </w:pPr>
      <w:r>
        <w:rPr>
          <w:i/>
        </w:rPr>
        <w:t>hāsi’ mahāprabhu raghunāthere kahila</w:t>
        <w:br/>
        <w:t>“tomāra upadeṣṭā kari’ svarūpere dila ||233||</w:t>
        <w:br/>
        <w:br/>
        <w:t>‘sādhya’-‘sādhana’-tattva śikha iṅhāra sthāne</w:t>
        <w:br/>
        <w:t>āmi tata nāhi jāni, iṅho yata jāne ||234||</w:t>
        <w:br/>
        <w:br/>
        <w:t>tathāpi āmāra ājñāya śraddhā yadi haya</w:t>
        <w:br/>
        <w:t>āmāra ei vākye tabe kariha niścaya ||235||</w:t>
      </w:r>
    </w:p>
    <w:p>
      <w:pPr>
        <w:ind w:left="389" w:right="259"/>
      </w:pPr>
      <w:r>
        <w:t>Smiling, Mahāprabhu says: “I have already appointed Svarūpa as your instructor. Learn from him the truth of the goal and the means; I do not know as much as he does. Still, if you have faith in My instruction, then fix your duty from these words.”</w:t>
      </w:r>
    </w:p>
    <w:p>
      <w:pPr>
        <w:ind w:left="389"/>
      </w:pPr>
      <w:r>
        <w:rPr>
          <w:b/>
          <w:color w:val="7B2638"/>
        </w:rPr>
        <w:t xml:space="preserve">Research use — </w:t>
      </w:r>
      <w:r>
        <w:t>The humility of 6.234 should not be flattened into a literal comparison of omniscience; narratively it magnifies Svarūpa’s authority.</w:t>
      </w:r>
    </w:p>
    <w:p>
      <w:r>
        <w:rPr>
          <w:b/>
          <w:color w:val="7B2638"/>
        </w:rPr>
        <w:t>Caitanya-caritāmṛta, Antya 6.236–238</w:t>
      </w:r>
    </w:p>
    <w:p>
      <w:pPr>
        <w:ind w:left="389" w:right="259"/>
      </w:pPr>
      <w:r>
        <w:rPr>
          <w:i/>
        </w:rPr>
        <w:t>grāmya-kathā nā śunibe, grāmya-vārtā nā kahibe</w:t>
        <w:br/>
        <w:t>bhāla nā khāibe āra bhāla nā paribe ||236||</w:t>
        <w:br/>
        <w:br/>
        <w:t>amānī mānada hañā kṛṣṇa-nāma sadā la’be</w:t>
        <w:br/>
        <w:t>vraje rādhā-kṛṣṇa-sevā mānase karibe ||237||</w:t>
        <w:br/>
        <w:br/>
        <w:t>ei ta’ saṅkṣepe āmi kailuṅ upadeśa</w:t>
        <w:br/>
        <w:t>svarūpera ṭhāñi ihāra pāibe viśeṣa ||238||</w:t>
      </w:r>
    </w:p>
    <w:p>
      <w:pPr>
        <w:ind w:left="389" w:right="259"/>
      </w:pPr>
      <w:r>
        <w:t>“Do not listen to ordinary worldly talk or speak ordinary worldly news. Do not eat luxurious/palatable food or dress finely. Seek no honor for yourself; give honor to others. Always take Kṛṣṇa’s name, and within the mind serve Rādhā and Kṛṣṇa in Vraja. I have given this instruction in brief; you will receive its details from Svarūpa.”</w:t>
      </w:r>
    </w:p>
    <w:p>
      <w:pPr>
        <w:ind w:left="389"/>
      </w:pPr>
      <w:r>
        <w:rPr>
          <w:b/>
          <w:color w:val="7B2638"/>
        </w:rPr>
        <w:t xml:space="preserve">Research use — </w:t>
      </w:r>
      <w:r>
        <w:t>The direct instruction itself explicitly returns Raghunātha to Svarūpa for detailed formation.</w:t>
      </w:r>
    </w:p>
    <w:p>
      <w:r>
        <w:rPr>
          <w:b/>
          <w:color w:val="7B2638"/>
        </w:rPr>
        <w:t>Caitanya-caritāmṛta, Antya 6.239–241</w:t>
      </w:r>
    </w:p>
    <w:p>
      <w:pPr>
        <w:ind w:left="389" w:right="259"/>
      </w:pPr>
      <w:r>
        <w:rPr>
          <w:i/>
        </w:rPr>
        <w:t>tṛṇād api su-nīcena</w:t>
        <w:br/>
        <w:t>taror iva sahiṣṇunā</w:t>
        <w:br/>
        <w:t>amāninā māna-dena</w:t>
        <w:br/>
        <w:t>kīrtanīyaḥ sadā hariḥ ||239||</w:t>
        <w:br/>
        <w:br/>
        <w:t>eta śuni’ raghunātha vandilā caraṇa</w:t>
        <w:br/>
        <w:t>mahāprabhu kailā tāṅre kṛpā-āliṅgana ||240||</w:t>
        <w:br/>
        <w:br/>
        <w:t>punaḥ samarpilā tāṅre svarūpera sthāne</w:t>
        <w:br/>
        <w:t>‘antaraṅga-sevā’ kare svarūpera sane ||241||</w:t>
      </w:r>
    </w:p>
    <w:p>
      <w:pPr>
        <w:ind w:left="389" w:right="259"/>
      </w:pPr>
      <w:r>
        <w:t>“More humble than grass, more tolerant than a tree, without demanding honor and ready to honor others—Hari is to be chanted always.” Hearing this, Raghunātha bowed at Mahāprabhu’s feet and received His merciful embrace. Mahāprabhu again entrusted him to Svarūpa, and Raghunātha rendered confidential service with him.</w:t>
      </w:r>
    </w:p>
    <w:p>
      <w:pPr>
        <w:ind w:left="389"/>
      </w:pPr>
      <w:r>
        <w:rPr>
          <w:b/>
          <w:color w:val="7B2638"/>
        </w:rPr>
        <w:t xml:space="preserve">Research use — </w:t>
      </w:r>
      <w:r>
        <w:t>The verse is Śikṣāṣṭaka 3 as cited within the Raghunātha narrative. The chapter ends with relationship, not merely a rule list.</w:t>
      </w:r>
    </w:p>
    <w:p>
      <w:pPr>
        <w:pStyle w:val="Heading2"/>
        <w:keepNext w:val="1"/>
        <w:keepLines w:val="1"/>
      </w:pPr>
      <w:r>
        <w:t>3. Literary and theological controls</w:t>
      </w:r>
    </w:p>
    <w:p>
      <w:pPr>
        <w:ind w:left="259" w:hanging="173"/>
      </w:pPr>
      <w:r>
        <w:rPr>
          <w:b/>
        </w:rPr>
        <w:t xml:space="preserve">• </w:t>
      </w:r>
      <w:r>
        <w:t>The chapter intentionally begins with Mahāprabhu’s concern that Raghunātha eat. This prevents later austerity from being read as bodily contempt or a command to imitate dangerous deprivation.</w:t>
      </w:r>
    </w:p>
    <w:p>
      <w:pPr>
        <w:ind w:left="259" w:hanging="173"/>
      </w:pPr>
      <w:r>
        <w:rPr>
          <w:b/>
        </w:rPr>
        <w:t xml:space="preserve">• </w:t>
      </w:r>
      <w:r>
        <w:t>The Siṁha-dvāra practice is a historical/devotional mode of niṣkiñcana maintenance in Purī as described by Kṛṣṇadāsa. It is not presented as a contemporary travel recommendation.</w:t>
      </w:r>
    </w:p>
    <w:p>
      <w:pPr>
        <w:ind w:left="259" w:hanging="173"/>
      </w:pPr>
      <w:r>
        <w:rPr>
          <w:b/>
        </w:rPr>
        <w:t xml:space="preserve">• </w:t>
      </w:r>
      <w:r>
        <w:t>Mahāprabhu’s vairāgī instructions at 6.223–227 belong to the renounced context. They should not be generalized into a diet prescription for householders or pilgrims.</w:t>
      </w:r>
    </w:p>
    <w:p>
      <w:pPr>
        <w:ind w:left="259" w:hanging="173"/>
      </w:pPr>
      <w:r>
        <w:rPr>
          <w:b/>
        </w:rPr>
        <w:t xml:space="preserve">• </w:t>
      </w:r>
      <w:r>
        <w:t>grāmya-kathā / grāmya-vārtā is translated broadly as ordinary worldly talk/news. Later commentators narrow or exemplify it in different ways; the root wording remains controlling.</w:t>
      </w:r>
    </w:p>
    <w:p>
      <w:pPr>
        <w:ind w:left="259" w:hanging="173"/>
      </w:pPr>
      <w:r>
        <w:rPr>
          <w:b/>
        </w:rPr>
        <w:t xml:space="preserve">• </w:t>
      </w:r>
      <w:r>
        <w:t>bhāla nā khāibe / bhāla nā paribe concerns refinement/luxury and sensual attraction in this renounced context. Avoid simplistic claims that tasty prasāda or clean clothing are intrinsically wrong.</w:t>
      </w:r>
    </w:p>
    <w:p>
      <w:pPr>
        <w:ind w:left="259" w:hanging="173"/>
      </w:pPr>
      <w:r>
        <w:rPr>
          <w:b/>
        </w:rPr>
        <w:t xml:space="preserve">• </w:t>
      </w:r>
      <w:r>
        <w:t>vraje rādhā-kṛṣṇa-sevā mānase karibe is a major A-level anchor for Raghunātha’s later Vraja-oriented internal practice.</w:t>
      </w:r>
    </w:p>
    <w:p>
      <w:pPr>
        <w:ind w:left="259" w:hanging="173"/>
      </w:pPr>
      <w:r>
        <w:rPr>
          <w:b/>
        </w:rPr>
        <w:t xml:space="preserve">• </w:t>
      </w:r>
      <w:r>
        <w:t>The title 'The Instruction He Lived' is a literary synthesis. Its warrant comes from the later CC portrait of Raghunātha’s rigorous adherence and his own Vraja-centered writings.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RDGB-06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