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RDGB-11</w:t>
      </w:r>
    </w:p>
    <w:p>
      <w:pPr>
        <w:pStyle w:val="Title"/>
        <w:keepNext/>
        <w:spacing w:after="20"/>
      </w:pPr>
      <w:r>
        <w:rPr>
          <w:b w:val="0"/>
          <w:i w:val="0"/>
        </w:rPr>
        <w:t>When the Two Lights Disappeared</w:t>
      </w:r>
    </w:p>
    <w:p>
      <w:pPr>
        <w:pStyle w:val="Subtitle"/>
        <w:keepNext/>
        <w:spacing w:after="160"/>
      </w:pPr>
      <w:r>
        <w:rPr>
          <w:b w:val="0"/>
          <w:i w:val="0"/>
        </w:rPr>
        <w:t>From Purī to the feet of Rūpa and Sanātana</w:t>
      </w:r>
    </w:p>
    <w:tbl>
      <w:tblPr>
        <w:tblW w:type="auto" w:w="0"/>
        <w:jc w:val="center"/>
        <w:tblLayout w:type="fixed"/>
        <w:tblLook w:firstColumn="1" w:firstRow="1" w:lastColumn="0" w:lastRow="0" w:noHBand="0" w:noVBand="1" w:val="04A0"/>
      </w:tblPr>
      <w:tblGrid>
        <w:gridCol w:w="1656"/>
        <w:gridCol w:w="8496"/>
      </w:tblGrid>
      <w:tr>
        <w:trPr>
          <w:cantSplit/>
          <w:cantSplit/>
        </w:trPr>
        <w:tc>
          <w:tcPr>
            <w:tcW w:type="dxa" w:w="5026"/>
            <w:tcMar>
              <w:top w:w="80" w:type="dxa"/>
              <w:start w:w="80" w:type="dxa"/>
              <w:bottom w:w="80" w:type="dxa"/>
              <w:end w:w="80" w:type="dxa"/>
            </w:tcMar>
            <w:vAlign w:val="center"/>
            <w:shd w:fill="E9D8DD"/>
          </w:tcPr>
          <w:p>
            <w:r>
              <w:rPr>
                <w:b/>
              </w:rPr>
              <w:t>FINAL STATUS</w:t>
            </w:r>
          </w:p>
        </w:tc>
        <w:tc>
          <w:tcPr>
            <w:tcW w:type="dxa" w:w="5026"/>
            <w:tcMar>
              <w:top w:w="80" w:type="dxa"/>
              <w:start w:w="80" w:type="dxa"/>
              <w:bottom w:w="80" w:type="dxa"/>
              <w:end w:w="8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keepNext/>
        <w:spacing w:after="140"/>
      </w:pPr>
      <w:r>
        <w:rPr>
          <w:b w:val="0"/>
          <w:i w:val="0"/>
        </w:rPr>
        <w:t>When the Two Lights Disappeared</w:t>
      </w:r>
    </w:p>
    <w:p>
      <w:pPr>
        <w:spacing w:after="100"/>
      </w:pPr>
      <w:r>
        <w:rPr>
          <w:b w:val="0"/>
          <w:i w:val="0"/>
        </w:rPr>
        <w:t>For sixteen years, Jagannātha Purī had been the place Raghunātha had spent his youth trying to reach. He had crossed Bengal to get there, placed his life at Mahāprabhu’s feet, and been given into the hands of Svarūpa Dāmodara. Purī was not merely where he lived. It was the world in which his renounced life had acquired meaning.</w:t>
      </w:r>
    </w:p>
    <w:p>
      <w:pPr>
        <w:spacing w:after="100"/>
      </w:pPr>
      <w:r>
        <w:rPr>
          <w:b w:val="0"/>
          <w:i w:val="0"/>
        </w:rPr>
        <w:t>Then that world ended.</w:t>
      </w:r>
    </w:p>
    <w:p>
      <w:pPr>
        <w:spacing w:after="100"/>
      </w:pPr>
      <w:r>
        <w:rPr>
          <w:b w:val="0"/>
          <w:i w:val="0"/>
        </w:rPr>
        <w:t>Kṛṣṇadāsa Kavirāja records the transition with extraordinary restraint. Raghunātha, he says, rendered confidential service for sixteen years. After the disappearance of Mahāprabhu and Svarūpa Dāmodara, he went to Vṛndāvana.</w:t>
      </w:r>
    </w:p>
    <w:p>
      <w:pPr>
        <w:spacing w:after="100"/>
      </w:pPr>
      <w:r>
        <w:rPr>
          <w:b w:val="0"/>
          <w:i w:val="0"/>
        </w:rPr>
        <w:t>The sentence is almost painfully brief. It does not tell us the exact physical circumstances of Mahāprabhu’s disappearance. It does not narrate a final scene between the Lord and Raghunātha. Nor does it tell us how long Raghunātha remained in Purī between the loss of Mahāprabhu and the loss of Svarūpa. Later devotional traditions fill the silence with grief-filled remembrance, but the first-generation biographical spine is simpler and firmer: both persons around whom Raghunātha’s Purī life had been formed were gone, and Raghunātha left.</w:t>
      </w:r>
    </w:p>
    <w:p>
      <w:pPr>
        <w:spacing w:after="100"/>
      </w:pPr>
      <w:r>
        <w:rPr>
          <w:b w:val="0"/>
          <w:i w:val="0"/>
        </w:rPr>
        <w:t>The force of that sentence becomes clearer only when the preceding chapters are remembered.</w:t>
      </w:r>
    </w:p>
    <w:p>
      <w:pPr>
        <w:spacing w:after="100"/>
      </w:pPr>
      <w:r>
        <w:rPr>
          <w:b w:val="0"/>
          <w:i w:val="0"/>
        </w:rPr>
        <w:t>Mahāprabhu had not merely inspired Raghunātha. He had received the runaway heir of Saptagrāma, arranged that his exhausted body be fed, instructed him in humility, nāma and mental service to Rādhā-Kṛṣṇa in Vraja, tasted the food of his renunciation, and placed Govardhana and the guñjā-mālā into his hands.</w:t>
      </w:r>
    </w:p>
    <w:p>
      <w:pPr>
        <w:spacing w:after="100"/>
      </w:pPr>
      <w:r>
        <w:rPr>
          <w:b w:val="0"/>
          <w:i w:val="0"/>
        </w:rPr>
        <w:t>Svarūpa Dāmodara had not merely been another respected devotee nearby. Mahāprabhu had formally entrusted Raghunātha to him as son or servant. Raghunātha learned the detailed form of the Lord’s instruction from him, served beside him, and helped preserve the memory of Mahāprabhu’s final līlā with him.</w:t>
      </w:r>
    </w:p>
    <w:p>
      <w:pPr>
        <w:spacing w:after="100"/>
      </w:pPr>
      <w:r>
        <w:rPr>
          <w:b w:val="0"/>
          <w:i w:val="0"/>
        </w:rPr>
        <w:t>To lose Mahāprabhu was therefore to lose the Lord whose feet he had spent his earlier life trying to attain. To lose Svarūpa was to lose the person into whose hands that same Lord had placed him.</w:t>
      </w:r>
    </w:p>
    <w:p>
      <w:pPr>
        <w:spacing w:after="100"/>
      </w:pPr>
      <w:r>
        <w:rPr>
          <w:b w:val="0"/>
          <w:i w:val="0"/>
        </w:rPr>
        <w:t>Purī remained holy. Jagannātha remained. The sea, the Siṁha-dvāra, the Gambhīrā and the roads of Nīlācala remained. But the two relationships that had made Raghunātha’s life there intelligible were no longer available in the same visible form.</w:t>
      </w:r>
    </w:p>
    <w:p>
      <w:pPr>
        <w:spacing w:after="100"/>
      </w:pPr>
      <w:r>
        <w:rPr>
          <w:b w:val="0"/>
          <w:i w:val="0"/>
        </w:rPr>
        <w:t>Kṛṣṇadāsa tells us what Raghunātha decided to do next.</w:t>
      </w:r>
    </w:p>
    <w:p>
      <w:pPr>
        <w:spacing w:after="100"/>
      </w:pPr>
      <w:r>
        <w:rPr>
          <w:b w:val="0"/>
          <w:i w:val="0"/>
        </w:rPr>
        <w:t>He would go to Vṛndāvana. First he would see the feet of Rūpa and Sanātana. Then he intended to give up his life at Govardhana.</w:t>
      </w:r>
    </w:p>
    <w:p>
      <w:pPr>
        <w:spacing w:after="100"/>
      </w:pPr>
      <w:r>
        <w:rPr>
          <w:b w:val="0"/>
          <w:i w:val="0"/>
        </w:rPr>
        <w:t>The wording must be allowed to remain as severe as the text makes it. This was not a planned new stage of pilgrimage, nor a serene retirement from Purī. Raghunātha set out carrying an intention born from unbearable separation. The same Govardhana that Mahāprabhu had earlier placed symbolically into his hands had now become, in his grief, the place where he expected his embodied life to end.</w:t>
      </w:r>
    </w:p>
    <w:p>
      <w:pPr>
        <w:spacing w:after="100"/>
      </w:pPr>
      <w:r>
        <w:rPr>
          <w:b w:val="0"/>
          <w:i w:val="0"/>
        </w:rPr>
        <w:t>That intention should not be detached from its narrative outcome or turned into a devotional ideal to imitate. Kṛṣṇadāsa tells the story precisely because it does not end there. Rūpa and Sanātana will refuse to let him die. The grief is real; the intended death is real within the narrative; and the answer to it will be relationship.</w:t>
      </w:r>
    </w:p>
    <w:p>
      <w:pPr>
        <w:spacing w:after="100"/>
      </w:pPr>
      <w:r>
        <w:rPr>
          <w:b w:val="0"/>
          <w:i w:val="0"/>
        </w:rPr>
        <w:t>Before that answer, however, Raghunātha had to reach them.</w:t>
      </w:r>
    </w:p>
    <w:p>
      <w:pPr>
        <w:spacing w:after="100"/>
      </w:pPr>
      <w:r>
        <w:rPr>
          <w:b w:val="0"/>
          <w:i w:val="0"/>
        </w:rPr>
        <w:t>The Caitanya-caritāmṛta gives no itinerary for his journey from Purī to Vraja. It names no sequence of overnight stops and no reconstructed road. The biography should not invent one. Kṛṣṇadāsa simply says that Raghunātha came to Vṛndāvana having fixed this determination within himself.</w:t>
      </w:r>
    </w:p>
    <w:p>
      <w:pPr>
        <w:spacing w:after="100"/>
      </w:pPr>
      <w:r>
        <w:rPr>
          <w:b w:val="0"/>
          <w:i w:val="0"/>
        </w:rPr>
        <w:t>There he saw Rūpa and Sanātana.</w:t>
      </w:r>
    </w:p>
    <w:p>
      <w:pPr>
        <w:spacing w:after="100"/>
      </w:pPr>
      <w:r>
        <w:rPr>
          <w:b w:val="0"/>
          <w:i w:val="0"/>
        </w:rPr>
        <w:t>The scene is again told with almost no ornament. Raghunātha approached the two brothers and bowed at their feet.</w:t>
      </w:r>
    </w:p>
    <w:p>
      <w:pPr>
        <w:spacing w:after="100"/>
      </w:pPr>
      <w:r>
        <w:rPr>
          <w:b w:val="0"/>
          <w:i w:val="0"/>
        </w:rPr>
        <w:t>Those feet mattered before this meeting. Mahāprabhu’s own instruction had already placed Raghunātha inside a Vraja-oriented life, and Raghunātha’s later prayers would repeatedly name Svarūpa, Rūpa and Sanātana together as the relationships through which his devotional identity had been formed. But now the meeting was no longer theological architecture or distant reverence. He had come to them bereaved, intending that this darśana would be the last human shelter he accepted before Govardhana.</w:t>
      </w:r>
    </w:p>
    <w:p>
      <w:pPr>
        <w:spacing w:after="100"/>
      </w:pPr>
      <w:r>
        <w:rPr>
          <w:b w:val="0"/>
          <w:i w:val="0"/>
        </w:rPr>
        <w:t>He bowed.</w:t>
      </w:r>
    </w:p>
    <w:p>
      <w:pPr>
        <w:spacing w:after="100"/>
      </w:pPr>
      <w:r>
        <w:rPr>
          <w:b w:val="0"/>
          <w:i w:val="0"/>
        </w:rPr>
        <w:t>And the two brothers did not let the story end as he had planned.</w:t>
      </w:r>
    </w:p>
    <w:p>
      <w:pPr>
        <w:pStyle w:val="Heading2"/>
        <w:keepNext/>
        <w:spacing w:after="80"/>
      </w:pPr>
      <w:r>
        <w:rPr>
          <w:b w:val="0"/>
          <w:i w:val="0"/>
        </w:rPr>
        <w:t>The first-generation narrative spine</w:t>
      </w:r>
    </w:p>
    <w:tbl>
      <w:tblPr>
        <w:tblW w:type="auto" w:w="0"/>
        <w:jc w:val="center"/>
        <w:tblLook w:firstColumn="1" w:firstRow="1" w:lastColumn="0" w:lastRow="0" w:noHBand="0" w:noVBand="1" w:val="04A0"/>
      </w:tblPr>
      <w:tblGrid>
        <w:gridCol w:w="10052"/>
      </w:tblGrid>
      <w:tr>
        <w:trPr>
          <w:cantSplit/>
          <w:cantSplit/>
        </w:trPr>
        <w:tc>
          <w:tcPr>
            <w:tcW w:type="dxa" w:w="10052"/>
            <w:tcMar>
              <w:top w:w="120" w:type="dxa"/>
              <w:start w:w="160" w:type="dxa"/>
              <w:bottom w:w="120" w:type="dxa"/>
              <w:end w:w="160" w:type="dxa"/>
            </w:tcMar>
            <w:shd w:fill="F4F0F1"/>
          </w:tcPr>
          <w:p>
            <w:pPr>
              <w:spacing w:after="80"/>
            </w:pPr>
            <w:r>
              <w:rPr>
                <w:b/>
              </w:rPr>
              <w:t>Caitanya-caritāmṛta, Ādi 10.93–95</w:t>
            </w:r>
          </w:p>
          <w:p>
            <w:pPr>
              <w:spacing w:after="60"/>
            </w:pPr>
            <w:r>
              <w:t>ṣoḍaśa vatsara kaila antaraṅga-sevana / svarūpera antardhāne āila vṛndāvana ||93||</w:t>
            </w:r>
          </w:p>
          <w:p>
            <w:pPr>
              <w:spacing w:after="60"/>
            </w:pPr>
            <w:r>
              <w:rPr>
                <w:i/>
              </w:rPr>
              <w:t>vṛndāvane dui bhāira caraṇa dekhiyā / govardhane tyajiba deha bhṛgupāta kariyā ||94||</w:t>
            </w:r>
          </w:p>
          <w:p>
            <w:pPr>
              <w:spacing w:after="60"/>
            </w:pPr>
            <w:r>
              <w:rPr>
                <w:i/>
              </w:rPr>
              <w:t>ei ta’ niścaya kari’ āila vṛndāvane / āsi’ rūpa-sanātanera vandila caraṇe ||95||</w:t>
            </w:r>
          </w:p>
          <w:p>
            <w:pPr>
              <w:spacing w:after="0"/>
            </w:pPr>
            <w:r>
              <w:t>Working translation: For sixteen years he rendered confidential service. After Svarūpa’s disappearance, he came to Vṛndāvana. (The received biographical translation understands Mahāprabhu’s disappearance as already preceding this.) He thought: “After seeing the feet of the two brothers in Vṛndāvana, I shall give up this body at Govardhana by falling from a height.” Having fixed this determination, he came to Vṛndāvana and bowed at the feet of Rūpa and Sanātana.</w:t>
            </w:r>
          </w:p>
        </w:tc>
      </w:tr>
    </w:tbl>
    <w:p/>
    <w:p>
      <w:pPr>
        <w:pStyle w:val="Heading1"/>
        <w:keepNext/>
        <w:spacing w:after="120"/>
      </w:pPr>
      <w:r>
        <w:t>SCHOLARLY CONTROL APPARATUS</w:t>
      </w:r>
    </w:p>
    <w:p>
      <w:pPr>
        <w:pStyle w:val="Heading2"/>
        <w:keepNext/>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cantSplit/>
          <w:tblHeader w:val="true"/>
        </w:trPr>
        <w:tc>
          <w:tcPr>
            <w:tcW w:type="dxa" w:w="2513"/>
            <w:shd w:fill="E9D8DD"/>
            <w:tcMar>
              <w:top w:w="55" w:type="dxa"/>
              <w:start w:w="60" w:type="dxa"/>
              <w:bottom w:w="55" w:type="dxa"/>
              <w:end w:w="60" w:type="dxa"/>
            </w:tcMar>
          </w:tcPr>
          <w:p>
            <w:r>
              <w:rPr>
                <w:b/>
              </w:rPr>
              <w:t>Narrative unit</w:t>
            </w:r>
          </w:p>
        </w:tc>
        <w:tc>
          <w:tcPr>
            <w:tcW w:type="dxa" w:w="2513"/>
            <w:shd w:fill="E9D8DD"/>
            <w:tcMar>
              <w:top w:w="55" w:type="dxa"/>
              <w:start w:w="60" w:type="dxa"/>
              <w:bottom w:w="55" w:type="dxa"/>
              <w:end w:w="60" w:type="dxa"/>
            </w:tcMar>
          </w:tcPr>
          <w:p>
            <w:r>
              <w:rPr>
                <w:b/>
              </w:rPr>
              <w:t>Locus</w:t>
            </w:r>
          </w:p>
        </w:tc>
        <w:tc>
          <w:tcPr>
            <w:tcW w:type="dxa" w:w="2513"/>
            <w:shd w:fill="E9D8DD"/>
            <w:tcMar>
              <w:top w:w="55" w:type="dxa"/>
              <w:start w:w="60" w:type="dxa"/>
              <w:bottom w:w="55" w:type="dxa"/>
              <w:end w:w="60" w:type="dxa"/>
            </w:tcMar>
          </w:tcPr>
          <w:p>
            <w:r>
              <w:rPr>
                <w:b/>
              </w:rPr>
              <w:t>Layer</w:t>
            </w:r>
          </w:p>
        </w:tc>
        <w:tc>
          <w:tcPr>
            <w:tcW w:type="dxa" w:w="2513"/>
            <w:shd w:fill="E9D8DD"/>
            <w:tcMar>
              <w:top w:w="55" w:type="dxa"/>
              <w:start w:w="60" w:type="dxa"/>
              <w:bottom w:w="55" w:type="dxa"/>
              <w:end w:w="60" w:type="dxa"/>
            </w:tcMar>
          </w:tcPr>
          <w:p>
            <w:r>
              <w:rPr>
                <w:b/>
              </w:rPr>
              <w:t>Control</w:t>
            </w:r>
          </w:p>
        </w:tc>
      </w:tr>
      <w:tr>
        <w:trPr>
          <w:cantSplit/>
          <w:cantSplit/>
        </w:trPr>
        <w:tc>
          <w:tcPr>
            <w:tcW w:type="dxa" w:w="2513"/>
            <w:tcMar>
              <w:top w:w="55" w:type="dxa"/>
              <w:start w:w="60" w:type="dxa"/>
              <w:bottom w:w="55" w:type="dxa"/>
              <w:end w:w="60" w:type="dxa"/>
            </w:tcMar>
          </w:tcPr>
          <w:p>
            <w:r>
              <w:t>Sixteen years of confidential service end; Raghunātha leaves Purī after Mahāprabhu and Svarūpa disappear</w:t>
            </w:r>
          </w:p>
        </w:tc>
        <w:tc>
          <w:tcPr>
            <w:tcW w:type="dxa" w:w="2513"/>
            <w:tcMar>
              <w:top w:w="55" w:type="dxa"/>
              <w:start w:w="60" w:type="dxa"/>
              <w:bottom w:w="55" w:type="dxa"/>
              <w:end w:w="60" w:type="dxa"/>
            </w:tcMar>
          </w:tcPr>
          <w:p>
            <w:r>
              <w:t>CC Ādi 10.93</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Secure transition. Root Bengali explicitly names Svarūpa’s disappearance; standard translation presupposes Mahāprabhu’s prior disappearance. Do not add an unsourced disappearance scene.</w:t>
            </w:r>
          </w:p>
        </w:tc>
      </w:tr>
      <w:tr>
        <w:trPr>
          <w:cantSplit/>
          <w:cantSplit/>
        </w:trPr>
        <w:tc>
          <w:tcPr>
            <w:tcW w:type="dxa" w:w="2513"/>
            <w:tcMar>
              <w:top w:w="55" w:type="dxa"/>
              <w:start w:w="60" w:type="dxa"/>
              <w:bottom w:w="55" w:type="dxa"/>
              <w:end w:w="60" w:type="dxa"/>
            </w:tcMar>
          </w:tcPr>
          <w:p>
            <w:r>
              <w:t>Raghunātha resolves first to see Rūpa and Sanātana</w:t>
            </w:r>
          </w:p>
        </w:tc>
        <w:tc>
          <w:tcPr>
            <w:tcW w:type="dxa" w:w="2513"/>
            <w:tcMar>
              <w:top w:w="55" w:type="dxa"/>
              <w:start w:w="60" w:type="dxa"/>
              <w:bottom w:w="55" w:type="dxa"/>
              <w:end w:w="60" w:type="dxa"/>
            </w:tcMar>
          </w:tcPr>
          <w:p>
            <w:r>
              <w:t>CC Ādi 10.94</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The darśana of the two brothers precedes the Govardhana death-intention in his stated plan.</w:t>
            </w:r>
          </w:p>
        </w:tc>
      </w:tr>
      <w:tr>
        <w:trPr>
          <w:cantSplit/>
          <w:cantSplit/>
        </w:trPr>
        <w:tc>
          <w:tcPr>
            <w:tcW w:type="dxa" w:w="2513"/>
            <w:tcMar>
              <w:top w:w="55" w:type="dxa"/>
              <w:start w:w="60" w:type="dxa"/>
              <w:bottom w:w="55" w:type="dxa"/>
              <w:end w:w="60" w:type="dxa"/>
            </w:tcMar>
          </w:tcPr>
          <w:p>
            <w:r>
              <w:t>Intention to give up the body at Govardhana</w:t>
            </w:r>
          </w:p>
        </w:tc>
        <w:tc>
          <w:tcPr>
            <w:tcW w:type="dxa" w:w="2513"/>
            <w:tcMar>
              <w:top w:w="55" w:type="dxa"/>
              <w:start w:w="60" w:type="dxa"/>
              <w:bottom w:w="55" w:type="dxa"/>
              <w:end w:w="60" w:type="dxa"/>
            </w:tcMar>
          </w:tcPr>
          <w:p>
            <w:r>
              <w:t>CC Ādi 10.94</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Explicit first-generation narrative. Present as grief-stricken intention, not normative devotional instruction.</w:t>
            </w:r>
          </w:p>
        </w:tc>
      </w:tr>
      <w:tr>
        <w:trPr>
          <w:cantSplit/>
          <w:cantSplit/>
        </w:trPr>
        <w:tc>
          <w:tcPr>
            <w:tcW w:type="dxa" w:w="2513"/>
            <w:tcMar>
              <w:top w:w="55" w:type="dxa"/>
              <w:start w:w="60" w:type="dxa"/>
              <w:bottom w:w="55" w:type="dxa"/>
              <w:end w:w="60" w:type="dxa"/>
            </w:tcMar>
          </w:tcPr>
          <w:p>
            <w:r>
              <w:t>Arrival in Vṛndāvana and obeisance to Rūpa and Sanātana</w:t>
            </w:r>
          </w:p>
        </w:tc>
        <w:tc>
          <w:tcPr>
            <w:tcW w:type="dxa" w:w="2513"/>
            <w:tcMar>
              <w:top w:w="55" w:type="dxa"/>
              <w:start w:w="60" w:type="dxa"/>
              <w:bottom w:w="55" w:type="dxa"/>
              <w:end w:w="60" w:type="dxa"/>
            </w:tcMar>
          </w:tcPr>
          <w:p>
            <w:r>
              <w:t>CC Ādi 10.95</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Proper endpoint for RDGB-11.</w:t>
            </w:r>
          </w:p>
        </w:tc>
      </w:tr>
      <w:tr>
        <w:trPr>
          <w:cantSplit/>
          <w:cantSplit/>
        </w:trPr>
        <w:tc>
          <w:tcPr>
            <w:tcW w:type="dxa" w:w="2513"/>
            <w:tcMar>
              <w:top w:w="55" w:type="dxa"/>
              <w:start w:w="60" w:type="dxa"/>
              <w:bottom w:w="55" w:type="dxa"/>
              <w:end w:w="60" w:type="dxa"/>
            </w:tcMar>
          </w:tcPr>
          <w:p>
            <w:r>
              <w:t>Later Vraja memory: Raghunātha left Purī after Prabhu’s disappearance and Svarūpa’s absence</w:t>
            </w:r>
          </w:p>
        </w:tc>
        <w:tc>
          <w:tcPr>
            <w:tcW w:type="dxa" w:w="2513"/>
            <w:tcMar>
              <w:top w:w="55" w:type="dxa"/>
              <w:start w:w="60" w:type="dxa"/>
              <w:bottom w:w="55" w:type="dxa"/>
              <w:end w:w="60" w:type="dxa"/>
            </w:tcMar>
          </w:tcPr>
          <w:p>
            <w:r>
              <w:t>Bhakti-ratnākara, later pilgrimage narrative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Useful corroborating memory; later than CC and not needed to override the A2 spine.</w:t>
            </w:r>
          </w:p>
        </w:tc>
      </w:tr>
      <w:tr>
        <w:trPr>
          <w:cantSplit/>
          <w:cantSplit/>
        </w:trPr>
        <w:tc>
          <w:tcPr>
            <w:tcW w:type="dxa" w:w="2513"/>
            <w:tcMar>
              <w:top w:w="55" w:type="dxa"/>
              <w:start w:w="60" w:type="dxa"/>
              <w:bottom w:w="55" w:type="dxa"/>
              <w:end w:w="60" w:type="dxa"/>
            </w:tcMar>
          </w:tcPr>
          <w:p>
            <w:r>
              <w:t>Later poetic grief traditions: hair-tearing, heightened lament, etc.</w:t>
            </w:r>
          </w:p>
        </w:tc>
        <w:tc>
          <w:tcPr>
            <w:tcW w:type="dxa" w:w="2513"/>
            <w:tcMar>
              <w:top w:w="55" w:type="dxa"/>
              <w:start w:w="60" w:type="dxa"/>
              <w:bottom w:w="55" w:type="dxa"/>
              <w:end w:w="60" w:type="dxa"/>
            </w:tcMar>
          </w:tcPr>
          <w:p>
            <w:r>
              <w:t>Padakalpataru material quoted in later Rādhā-kuṇḍa tradition</w:t>
            </w:r>
          </w:p>
        </w:tc>
        <w:tc>
          <w:tcPr>
            <w:tcW w:type="dxa" w:w="2513"/>
            <w:tcMar>
              <w:top w:w="55" w:type="dxa"/>
              <w:start w:w="60" w:type="dxa"/>
              <w:bottom w:w="55" w:type="dxa"/>
              <w:end w:w="60" w:type="dxa"/>
            </w:tcMar>
          </w:tcPr>
          <w:p>
            <w:r>
              <w:t>C / source-open</w:t>
            </w:r>
          </w:p>
        </w:tc>
        <w:tc>
          <w:tcPr>
            <w:tcW w:type="dxa" w:w="2513"/>
            <w:tcMar>
              <w:top w:w="55" w:type="dxa"/>
              <w:start w:w="60" w:type="dxa"/>
              <w:bottom w:w="55" w:type="dxa"/>
              <w:end w:w="60" w:type="dxa"/>
            </w:tcMar>
          </w:tcPr>
          <w:p>
            <w:r>
              <w:t>May be mentioned only as later devotional reception unless the original pada is securely identified.</w:t>
            </w:r>
          </w:p>
        </w:tc>
      </w:tr>
    </w:tbl>
    <w:p/>
    <w:p>
      <w:pPr>
        <w:pStyle w:val="Heading2"/>
        <w:keepNext/>
        <w:spacing w:after="80"/>
      </w:pPr>
      <w:r>
        <w:rPr>
          <w:b w:val="0"/>
          <w:i w:val="0"/>
        </w:rPr>
        <w:t>2. Primary quotation ledger</w:t>
      </w:r>
    </w:p>
    <w:p>
      <w:pPr>
        <w:spacing w:after="40"/>
      </w:pPr>
      <w:r>
        <w:rPr>
          <w:b/>
        </w:rPr>
        <w:t>Caitanya-caritāmṛta, Ādi 10.93</w:t>
      </w:r>
    </w:p>
    <w:p>
      <w:pPr>
        <w:spacing w:after="40"/>
        <w:ind w:left="259"/>
      </w:pPr>
      <w:r>
        <w:rPr>
          <w:i/>
        </w:rPr>
        <w:t>ṣoḍaśa vatsara kaila antaraṅga-sevana</w:t>
        <w:br/>
        <w:t>svarūpera antardhāne āila vṛndāvana ||93||</w:t>
      </w:r>
    </w:p>
    <w:p>
      <w:pPr>
        <w:spacing w:after="100"/>
      </w:pPr>
      <w:r>
        <w:t>Research use — The Bengali explicitly gives the sixteen-year duration and names Svarūpa’s disappearance as the immediate marker before Raghunātha comes to Vṛndāvana. The standard translation understands Mahāprabhu’s disappearance as already preceding this. The verse does not narrate the physical circumstances of either disappearance.</w:t>
      </w:r>
    </w:p>
    <w:p>
      <w:pPr>
        <w:spacing w:after="40"/>
      </w:pPr>
      <w:r>
        <w:rPr>
          <w:b/>
        </w:rPr>
        <w:t>Caitanya-caritāmṛta, Ādi 10.94</w:t>
      </w:r>
    </w:p>
    <w:p>
      <w:pPr>
        <w:spacing w:after="40"/>
        <w:ind w:left="259"/>
      </w:pPr>
      <w:r>
        <w:rPr>
          <w:i/>
        </w:rPr>
        <w:t>vṛndāvane dui bhāira caraṇa dekhiyā</w:t>
      </w:r>
      <w:r>
        <w:br/>
      </w:r>
      <w:r>
        <w:rPr>
          <w:i/>
        </w:rPr>
        <w:t>govardhane tyajiba deha bhṛgupāta kariyā ||94||</w:t>
      </w:r>
    </w:p>
    <w:p>
      <w:pPr>
        <w:spacing w:after="100"/>
      </w:pPr>
      <w:r>
        <w:t>Research use — The Govardhana death-intention is explicit A2-level evidence, not merely a late Rādhā-kuṇḍa legend. The biography should keep it joined to the next verse and to Rūpa-Sanātana’s intervention in 10.96.</w:t>
      </w:r>
    </w:p>
    <w:p>
      <w:pPr>
        <w:spacing w:after="40"/>
      </w:pPr>
      <w:r>
        <w:rPr>
          <w:b/>
        </w:rPr>
        <w:t>Caitanya-caritāmṛta, Ādi 10.95</w:t>
      </w:r>
    </w:p>
    <w:p>
      <w:pPr>
        <w:spacing w:after="40"/>
        <w:ind w:left="259"/>
      </w:pPr>
      <w:r>
        <w:rPr>
          <w:i/>
        </w:rPr>
        <w:t>ei ta’ niścaya kari’ āila vṛndāvane</w:t>
      </w:r>
      <w:r>
        <w:br/>
      </w:r>
      <w:r>
        <w:rPr>
          <w:i/>
        </w:rPr>
        <w:t>āsi’ rūpa-sanātanera vandila caraṇe ||95||</w:t>
      </w:r>
    </w:p>
    <w:p>
      <w:pPr>
        <w:spacing w:after="100"/>
      </w:pPr>
      <w:r>
        <w:t>Research use — Raghunātha reaches Vṛndāvana with this determination and bows at the feet of Rūpa and Sanātana. This is the clean narrative boundary before their intervention.</w:t>
      </w:r>
    </w:p>
    <w:p>
      <w:pPr>
        <w:spacing w:after="40"/>
      </w:pPr>
      <w:r>
        <w:rPr>
          <w:b/>
        </w:rPr>
        <w:t>Caitanya-caritāmṛta, Ādi 10.96–97 — handoff only</w:t>
      </w:r>
    </w:p>
    <w:p>
      <w:pPr>
        <w:spacing w:after="40"/>
        <w:ind w:left="259"/>
      </w:pPr>
      <w:r>
        <w:rPr>
          <w:i/>
        </w:rPr>
        <w:t>The two brothers do not allow him to die; they accept him as their third brother, and they continually hear from him about Mahāprabhu’s external and internal līlā.</w:t>
      </w:r>
    </w:p>
    <w:p>
      <w:pPr>
        <w:spacing w:after="100"/>
      </w:pPr>
      <w:r>
        <w:t>Research use — These verses control RDGB-12 and should not be fully consumed in the present chapter.</w:t>
      </w:r>
    </w:p>
    <w:p>
      <w:pPr>
        <w:pStyle w:val="Heading2"/>
        <w:keepNext/>
        <w:spacing w:after="80"/>
      </w:pPr>
      <w:r>
        <w:rPr>
          <w:b w:val="0"/>
          <w:i w:val="0"/>
        </w:rPr>
        <w:t>3. Source-critical and theological controls</w:t>
      </w:r>
    </w:p>
    <w:p>
      <w:pPr>
        <w:spacing w:after="80"/>
        <w:ind w:left="259" w:hanging="173"/>
      </w:pPr>
      <w:r>
        <w:rPr>
          <w:b/>
        </w:rPr>
        <w:t xml:space="preserve">• </w:t>
      </w:r>
      <w:r>
        <w:t>Do not narrate a specific physical scenario for Mahāprabhu’s disappearance as though Caitanya-caritāmṛta supplied it. The present chapter is about Raghunātha’s biographical response, not adjudicating later disappearance traditions.</w:t>
      </w:r>
    </w:p>
    <w:p>
      <w:pPr>
        <w:spacing w:after="80"/>
        <w:ind w:left="259" w:hanging="173"/>
      </w:pPr>
      <w:r>
        <w:t>• Do not assign an exact interval between Mahāprabhu’s disappearance and Svarūpa Dāmodara’s disappearance unless an independent controlled source is introduced. Ādi 10.93 explicitly names Svarūpa’s antardhāna; the standard translation understands Mahāprabhu’s disappearance as preceding it.</w:t>
      </w:r>
    </w:p>
    <w:p>
      <w:pPr>
        <w:spacing w:after="80"/>
        <w:ind w:left="259" w:hanging="173"/>
      </w:pPr>
      <w:r>
        <w:rPr>
          <w:b/>
        </w:rPr>
        <w:t xml:space="preserve">• </w:t>
      </w:r>
      <w:r>
        <w:t>The title “When the Two Lights Disappeared” is literary synthesis, not a quotation.</w:t>
      </w:r>
    </w:p>
    <w:p>
      <w:pPr>
        <w:spacing w:after="80"/>
        <w:ind w:left="259" w:hanging="173"/>
      </w:pPr>
      <w:r>
        <w:rPr>
          <w:b/>
        </w:rPr>
        <w:t xml:space="preserve">• </w:t>
      </w:r>
      <w:r>
        <w:t>The Govardhana death-intention is explicit in the A2 source. It should neither be suppressed nor romanticized. The narrative itself answers it through Rūpa and Sanātana’s refusal to let him die.</w:t>
      </w:r>
    </w:p>
    <w:p>
      <w:pPr>
        <w:spacing w:after="80"/>
        <w:ind w:left="259" w:hanging="173"/>
      </w:pPr>
      <w:r>
        <w:rPr>
          <w:b/>
        </w:rPr>
        <w:t xml:space="preserve">• </w:t>
      </w:r>
      <w:r>
        <w:t>Avoid route reconstruction from Purī to Vṛndāvana. The controlling verses do not provide a road itinerary.</w:t>
      </w:r>
    </w:p>
    <w:p>
      <w:pPr>
        <w:spacing w:after="80"/>
        <w:ind w:left="259" w:hanging="173"/>
      </w:pPr>
      <w:r>
        <w:rPr>
          <w:b/>
        </w:rPr>
        <w:t xml:space="preserve">• </w:t>
      </w:r>
      <w:r>
        <w:t>Later Padakalpataru material may supply devotional reception of Raghunātha’s grief, but specific details such as tearing his hair should remain later-layer material unless the original text is recovered and verified.</w:t>
      </w:r>
    </w:p>
    <w:p>
      <w:pPr>
        <w:spacing w:after="80"/>
        <w:ind w:left="259" w:hanging="173"/>
      </w:pPr>
      <w:r>
        <w:rPr>
          <w:b/>
        </w:rPr>
        <w:t xml:space="preserve">• </w:t>
      </w:r>
      <w:r>
        <w:t>This chapter should preserve continuity with RDGB-08: the Govardhana that Mahāprabhu placed into Raghunātha’s hands now reappears, under grief, as the place where he intends his life to end. The later biography will transform that intention into residence and service.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RDGB-11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RDGB-11 — When the Two Lights Disappeared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