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RDGB-17</w:t>
      </w:r>
    </w:p>
    <w:p>
      <w:pPr>
        <w:pStyle w:val="Title"/>
        <w:spacing w:after="20"/>
      </w:pPr>
      <w:r>
        <w:rPr>
          <w:b w:val="0"/>
          <w:i w:val="0"/>
        </w:rPr>
        <w:t>The Last Years</w:t>
      </w:r>
    </w:p>
    <w:p>
      <w:pPr>
        <w:pStyle w:val="Subtitle"/>
        <w:spacing w:after="160"/>
      </w:pPr>
      <w:r>
        <w:rPr>
          <w:b w:val="0"/>
          <w:i w:val="0"/>
        </w:rPr>
        <w:t>When only service remained</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The Last Years</w:t>
      </w:r>
    </w:p>
    <w:p>
      <w:pPr>
        <w:spacing w:after="100"/>
      </w:pPr>
      <w:r>
        <w:rPr>
          <w:b w:val="0"/>
          <w:i w:val="0"/>
        </w:rPr>
        <w:t>Age did not arrive gently for Raghunātha.</w:t>
      </w:r>
    </w:p>
    <w:p>
      <w:pPr>
        <w:spacing w:after="100"/>
      </w:pPr>
      <w:r>
        <w:rPr>
          <w:b w:val="0"/>
          <w:i w:val="0"/>
        </w:rPr>
        <w:t>By the time the younger generation was coming to Rādhā-kuṇḍa for his blessing, the losses behind him had accumulated almost beyond counting. Mahāprabhu and Svarūpa were gone from his sight. Sanātana, who had refused to let him die and later forced him to accept shelter beneath a roof, was gone. Rūpa, whom he had bound into his own daily remembrance, was gone as well.</w:t>
      </w:r>
    </w:p>
    <w:p>
      <w:pPr>
        <w:spacing w:after="100"/>
      </w:pPr>
      <w:r>
        <w:rPr>
          <w:b w:val="0"/>
          <w:i w:val="0"/>
        </w:rPr>
        <w:t>Bhakti-ratnākara remembers Raghunātha and Gopāla Bhaṭṭa as living in the fire of separation after the disappearance of Rūpa and Sanātana.</w:t>
      </w:r>
    </w:p>
    <w:p>
      <w:pPr>
        <w:spacing w:after="100"/>
      </w:pPr>
      <w:r>
        <w:rPr>
          <w:b w:val="0"/>
          <w:i w:val="0"/>
        </w:rPr>
        <w:t>For Raghunātha, viraha was no longer only a poetic theology. It had become the atmosphere of old age.</w:t>
      </w:r>
    </w:p>
    <w:p>
      <w:pPr>
        <w:pStyle w:val="Heading2"/>
        <w:spacing w:after="100"/>
      </w:pPr>
      <w:r>
        <w:rPr>
          <w:b w:val="0"/>
          <w:i w:val="0"/>
        </w:rPr>
        <w:t>The names he still cried</w:t>
      </w:r>
    </w:p>
    <w:p>
      <w:pPr>
        <w:spacing w:after="100"/>
      </w:pPr>
      <w:r>
        <w:rPr>
          <w:b w:val="0"/>
          <w:i w:val="0"/>
        </w:rPr>
        <w:t>One late scene is especially revealing.</w:t>
      </w:r>
    </w:p>
    <w:p>
      <w:pPr>
        <w:spacing w:after="100"/>
      </w:pPr>
      <w:r>
        <w:rPr>
          <w:b w:val="0"/>
          <w:i w:val="0"/>
        </w:rPr>
        <w:t>When Śrīnivāsa was preparing to leave Vraja for Gauḍa with the books of the Gosvāmīs, Jīva sent him to take leave of Dāsa Gosvāmī. The thought of another separation struck Raghunātha immediately.</w:t>
      </w:r>
    </w:p>
    <w:p>
      <w:pPr>
        <w:spacing w:after="100"/>
      </w:pPr>
      <w:r>
        <w:rPr>
          <w:b w:val="0"/>
          <w:i w:val="0"/>
        </w:rPr>
        <w:t>Narahari describes him crying out the names of Svarūpa, Rūpa and Sanātana and rolling on the ground while tears streamed from his eyes.</w:t>
      </w:r>
    </w:p>
    <w:p>
      <w:pPr>
        <w:spacing w:after="100"/>
      </w:pPr>
      <w:r>
        <w:rPr>
          <w:b w:val="0"/>
          <w:i w:val="0"/>
        </w:rPr>
        <w:t>Those three names contain the architecture of his mature life.</w:t>
      </w:r>
    </w:p>
    <w:p>
      <w:pPr>
        <w:spacing w:after="100"/>
      </w:pPr>
      <w:r>
        <w:rPr>
          <w:b w:val="0"/>
          <w:i w:val="0"/>
        </w:rPr>
        <w:t>Svarūpa had formed him beside Mahāprabhu in Purī. Rūpa and Sanātana had kept him alive when he reached Vraja intending to die. Decades later, in the weakness of old age, those relationships had not become memories stored safely in the past. Separation from them remained present.</w:t>
      </w:r>
    </w:p>
    <w:p>
      <w:pPr>
        <w:pStyle w:val="Heading2"/>
        <w:spacing w:after="100"/>
      </w:pPr>
      <w:r>
        <w:rPr>
          <w:b w:val="0"/>
          <w:i w:val="0"/>
        </w:rPr>
        <w:t>A body almost unable to continue</w:t>
      </w:r>
    </w:p>
    <w:p>
      <w:pPr>
        <w:spacing w:after="100"/>
      </w:pPr>
      <w:r>
        <w:rPr>
          <w:b w:val="0"/>
          <w:i w:val="0"/>
        </w:rPr>
        <w:t>Bhakti-ratnākara’s description of his body becomes increasingly stark.</w:t>
      </w:r>
    </w:p>
    <w:p>
      <w:pPr>
        <w:spacing w:after="100"/>
      </w:pPr>
      <w:r>
        <w:rPr>
          <w:b w:val="0"/>
          <w:i w:val="0"/>
        </w:rPr>
        <w:t>Raghunātha is said to have eaten only once every three or four days. He had become so weak that even a gust of wind was difficult to bear. After bowing fully to the ground, he sometimes lacked the strength to stand again.</w:t>
      </w:r>
    </w:p>
    <w:p>
      <w:pPr>
        <w:spacing w:after="100"/>
      </w:pPr>
      <w:r>
        <w:rPr>
          <w:b w:val="0"/>
          <w:i w:val="0"/>
        </w:rPr>
        <w:t>The devotees asked him not to continue offering daṇḍavats in that condition.</w:t>
      </w:r>
    </w:p>
    <w:p>
      <w:pPr>
        <w:spacing w:after="100"/>
      </w:pPr>
      <w:r>
        <w:rPr>
          <w:b w:val="0"/>
          <w:i w:val="0"/>
        </w:rPr>
        <w:t>He did not argue with them.</w:t>
      </w:r>
    </w:p>
    <w:p>
      <w:pPr>
        <w:spacing w:after="100"/>
      </w:pPr>
      <w:r>
        <w:rPr>
          <w:b w:val="0"/>
          <w:i w:val="0"/>
        </w:rPr>
        <w:t>He simply continued.</w:t>
      </w:r>
    </w:p>
    <w:p>
      <w:pPr>
        <w:spacing w:after="100"/>
      </w:pPr>
      <w:r>
        <w:rPr>
          <w:b w:val="0"/>
          <w:i w:val="0"/>
        </w:rPr>
        <w:t>This late portrait should not be turned into a regimen for imitation. The text is describing the extremity of one particular life, already shaped by decades of unusual renunciation, old age, grief and devotional absorption.</w:t>
      </w:r>
    </w:p>
    <w:p>
      <w:pPr>
        <w:spacing w:after="100"/>
      </w:pPr>
      <w:r>
        <w:rPr>
          <w:b w:val="0"/>
          <w:i w:val="0"/>
        </w:rPr>
        <w:t>What matters biographically is that bodily incapacity did not redirect his attention toward himself.</w:t>
      </w:r>
    </w:p>
    <w:p>
      <w:pPr>
        <w:pStyle w:val="Heading2"/>
        <w:spacing w:after="100"/>
      </w:pPr>
      <w:r>
        <w:rPr>
          <w:b w:val="0"/>
          <w:i w:val="0"/>
        </w:rPr>
        <w:t>The gifts from Purī were still there</w:t>
      </w:r>
    </w:p>
    <w:p>
      <w:pPr>
        <w:spacing w:after="100"/>
      </w:pPr>
      <w:r>
        <w:rPr>
          <w:b w:val="0"/>
          <w:i w:val="0"/>
        </w:rPr>
        <w:t>At precisely the point where Narahari’s account makes Raghunātha seem physically most fragile, it tells us what remained in his hands.</w:t>
      </w:r>
    </w:p>
    <w:p>
      <w:pPr>
        <w:spacing w:after="100"/>
      </w:pPr>
      <w:r>
        <w:rPr>
          <w:b w:val="0"/>
          <w:i w:val="0"/>
        </w:rPr>
        <w:t>The Govardhana-śilā.</w:t>
      </w:r>
    </w:p>
    <w:p>
      <w:pPr>
        <w:spacing w:after="100"/>
      </w:pPr>
      <w:r>
        <w:rPr>
          <w:b w:val="0"/>
          <w:i w:val="0"/>
        </w:rPr>
        <w:t>The guñjā-mālā.</w:t>
      </w:r>
    </w:p>
    <w:p>
      <w:pPr>
        <w:spacing w:after="100"/>
      </w:pPr>
      <w:r>
        <w:rPr>
          <w:b w:val="0"/>
          <w:i w:val="0"/>
        </w:rPr>
        <w:t>The gifts Mahāprabhu had personally given him in Purī were still objects of his worship.</w:t>
      </w:r>
    </w:p>
    <w:p>
      <w:pPr>
        <w:keepLines/>
        <w:spacing w:after="140"/>
        <w:ind w:left="504" w:right="288"/>
      </w:pPr>
      <w:r>
        <w:rPr>
          <w:i/>
        </w:rPr>
        <w:t>With great joy he worshiped the Lord through the Govardhana-śilā and the guñjā-mālā that had been given to him. Absorbed in that worship, he forgot even his own existence.</w:t>
      </w:r>
    </w:p>
    <w:p>
      <w:pPr>
        <w:spacing w:after="100"/>
      </w:pPr>
      <w:r>
        <w:rPr>
          <w:b w:val="0"/>
          <w:i w:val="0"/>
        </w:rPr>
        <w:t>The continuity is extraordinary.</w:t>
      </w:r>
    </w:p>
    <w:p>
      <w:pPr>
        <w:spacing w:after="100"/>
      </w:pPr>
      <w:r>
        <w:rPr>
          <w:b w:val="0"/>
          <w:i w:val="0"/>
        </w:rPr>
        <w:t>In youth he had tried repeatedly to escape the house of wealth. In Purī, Mahāprabhu had placed Govardhana and Rādhā’s shelter into his hands through the stone and garland. In Vraja, he had built his life beside Govardhana and Rādhā-kuṇḍa. Now, in extreme old age, when so many of the people who had shaped him were gone, those same gifts remained before him.</w:t>
      </w:r>
    </w:p>
    <w:p>
      <w:pPr>
        <w:spacing w:after="100"/>
      </w:pPr>
      <w:r>
        <w:rPr>
          <w:b w:val="0"/>
          <w:i w:val="0"/>
        </w:rPr>
        <w:t>The object Mahāprabhu had wet with His own tears had outlasted nearly every human relationship around which Raghunātha’s adult life had been formed.</w:t>
      </w:r>
    </w:p>
    <w:p>
      <w:pPr>
        <w:spacing w:after="100"/>
      </w:pPr>
      <w:r>
        <w:rPr>
          <w:b w:val="0"/>
          <w:i w:val="0"/>
        </w:rPr>
        <w:t>Narahari continues by describing him absorbed in nāma-kīrtana, sometimes passing sleepless nights in tears, and remaining immersed in remembrance of Rādhā-Kṛṣṇa and Caitanya.</w:t>
      </w:r>
    </w:p>
    <w:p>
      <w:pPr>
        <w:spacing w:after="100"/>
      </w:pPr>
      <w:r>
        <w:rPr>
          <w:b w:val="0"/>
          <w:i w:val="0"/>
        </w:rPr>
        <w:t>His final years therefore do not move away from the themes of his earlier life. They compress them.</w:t>
      </w:r>
    </w:p>
    <w:p>
      <w:pPr>
        <w:pStyle w:val="Heading2"/>
        <w:spacing w:after="100"/>
      </w:pPr>
      <w:r>
        <w:rPr>
          <w:b w:val="0"/>
          <w:i w:val="0"/>
        </w:rPr>
        <w:t>Blind, on his death bed, still thinking of Rādhā-kuṇḍa</w:t>
      </w:r>
    </w:p>
    <w:p>
      <w:pPr>
        <w:spacing w:after="100"/>
      </w:pPr>
      <w:r>
        <w:rPr>
          <w:b w:val="0"/>
          <w:i w:val="0"/>
        </w:rPr>
        <w:t>The documentary record gives us a very different kind of late-life witness.</w:t>
      </w:r>
    </w:p>
    <w:p>
      <w:pPr>
        <w:spacing w:after="100"/>
      </w:pPr>
      <w:r>
        <w:rPr>
          <w:b w:val="0"/>
          <w:i w:val="0"/>
        </w:rPr>
        <w:t>A Sanskrit settlement dated to 1584 survives in two reported copies. Tarapada Mukherjee and J. C. Wright published and analyzed the document. Its wording is unusually personal.</w:t>
      </w:r>
    </w:p>
    <w:p>
      <w:pPr>
        <w:spacing w:after="100"/>
      </w:pPr>
      <w:r>
        <w:rPr>
          <w:b w:val="0"/>
          <w:i w:val="0"/>
        </w:rPr>
        <w:t>Raghunātha identifies himself as blind, as devoted to the service of Śrī Rādhā-kuṇḍa, and as dictating the document at the end of life. He places his property at the feet of the deity worshiped by Jīva — effectively transferring the foundation into the Rādhā-Dāmodara/Jīva custodial line.</w:t>
      </w:r>
    </w:p>
    <w:p>
      <w:pPr>
        <w:keepLines/>
        <w:spacing w:after="140"/>
        <w:ind w:left="504" w:right="288"/>
      </w:pPr>
      <w:r>
        <w:rPr>
          <w:i/>
        </w:rPr>
        <w:t>The document describes Raghunātha as a blind servant devoted to Rādhā-kuṇḍa and says that he is dictating it “on my death bed.”</w:t>
      </w:r>
    </w:p>
    <w:p>
      <w:pPr>
        <w:spacing w:after="100"/>
      </w:pPr>
      <w:r>
        <w:rPr>
          <w:b w:val="0"/>
          <w:i w:val="0"/>
        </w:rPr>
        <w:t>This is one of the strongest historical anchors in the entire late biography.</w:t>
      </w:r>
    </w:p>
    <w:p>
      <w:pPr>
        <w:spacing w:after="100"/>
      </w:pPr>
      <w:r>
        <w:rPr>
          <w:b w:val="0"/>
          <w:i w:val="0"/>
        </w:rPr>
        <w:t>It does not tell us what he ate that day or who sat beside him. It does not describe a disappearance līlā. But it gives a fixed documentary horizon: by 1584 Raghunātha was blind, considered himself near death, and was making arrangements for the property attached to the service of Rādhā-kuṇḍa.</w:t>
      </w:r>
    </w:p>
    <w:p>
      <w:pPr>
        <w:spacing w:after="100"/>
      </w:pPr>
      <w:r>
        <w:rPr>
          <w:b w:val="0"/>
          <w:i w:val="0"/>
        </w:rPr>
        <w:t>Even here, at the edge of death, the language returns to sevā.</w:t>
      </w:r>
    </w:p>
    <w:p>
      <w:pPr>
        <w:pStyle w:val="Heading2"/>
        <w:spacing w:after="100"/>
      </w:pPr>
      <w:r>
        <w:rPr>
          <w:b w:val="0"/>
          <w:i w:val="0"/>
        </w:rPr>
        <w:t>Why the disappearance year remains open</w:t>
      </w:r>
    </w:p>
    <w:p>
      <w:pPr>
        <w:spacing w:after="100"/>
      </w:pPr>
      <w:r>
        <w:rPr>
          <w:b w:val="0"/>
          <w:i w:val="0"/>
        </w:rPr>
        <w:t>It would be convenient to end the biography with a single uncontested year.</w:t>
      </w:r>
    </w:p>
    <w:p>
      <w:pPr>
        <w:spacing w:after="100"/>
      </w:pPr>
      <w:r>
        <w:rPr>
          <w:b w:val="0"/>
          <w:i w:val="0"/>
        </w:rPr>
        <w:t>The evidence does not allow that.</w:t>
      </w:r>
    </w:p>
    <w:p>
      <w:pPr>
        <w:spacing w:after="100"/>
      </w:pPr>
      <w:r>
        <w:rPr>
          <w:b w:val="0"/>
          <w:i w:val="0"/>
        </w:rPr>
        <w:t>Later devotional chronologies give specific disappearance dates, and some modern biographies repeat them with confidence. The documentary material is more difficult.</w:t>
      </w:r>
    </w:p>
    <w:p>
      <w:pPr>
        <w:spacing w:after="100"/>
      </w:pPr>
      <w:r>
        <w:rPr>
          <w:b w:val="0"/>
          <w:i w:val="0"/>
        </w:rPr>
        <w:t>The 1584 Sanskrit settlement explicitly speaks from a death-bed setting. Yet a Persian declaration dated 2 June 1588 records a hiba — a gift — of six plots near the tank to Jīva, in Raghunātha’s name.</w:t>
      </w:r>
    </w:p>
    <w:p>
      <w:pPr>
        <w:spacing w:after="100"/>
      </w:pPr>
      <w:r>
        <w:rPr>
          <w:b w:val="0"/>
          <w:i w:val="0"/>
        </w:rPr>
        <w:t>That later document cannot simply be ignored. But neither can it be used mechanically to say, “therefore Raghunātha was certainly alive in 1588,” as though the relationship between the two documents were already solved.</w:t>
      </w:r>
    </w:p>
    <w:p>
      <w:pPr>
        <w:spacing w:after="100"/>
      </w:pPr>
      <w:r>
        <w:rPr>
          <w:b w:val="0"/>
          <w:i w:val="0"/>
        </w:rPr>
        <w:t>The project’s documentary work has identified real tensions among purchase dates, later registrations, retrospective statements and transfer records. The precise relationship between the 1584 settlement and the 1588 hiba still requires full collation of the surviving originals and copies.</w:t>
      </w:r>
    </w:p>
    <w:p>
      <w:pPr>
        <w:spacing w:after="100"/>
      </w:pPr>
      <w:r>
        <w:rPr>
          <w:b w:val="0"/>
          <w:i w:val="0"/>
        </w:rPr>
        <w:t>For that reason, the strongest responsible conclusion is modest:</w:t>
      </w:r>
    </w:p>
    <w:p>
      <w:pPr>
        <w:keepLines/>
        <w:spacing w:after="140"/>
        <w:ind w:left="504" w:right="288"/>
      </w:pPr>
      <w:r>
        <w:rPr>
          <w:i/>
        </w:rPr>
        <w:t>Raghunātha is securely documented in a death-bed settlement in 1584. A 1588 legal record preserves a later property transfer in his name. The exact year of his disappearance remains unresolved.</w:t>
      </w:r>
    </w:p>
    <w:p>
      <w:pPr>
        <w:spacing w:after="100"/>
      </w:pPr>
      <w:r>
        <w:rPr>
          <w:b w:val="0"/>
          <w:i w:val="0"/>
        </w:rPr>
        <w:t>This uncertainty does not weaken the biography.</w:t>
      </w:r>
    </w:p>
    <w:p>
      <w:pPr>
        <w:spacing w:after="100"/>
      </w:pPr>
      <w:r>
        <w:rPr>
          <w:b w:val="0"/>
          <w:i w:val="0"/>
        </w:rPr>
        <w:t>It protects it from false precision.</w:t>
      </w:r>
    </w:p>
    <w:p>
      <w:pPr>
        <w:pStyle w:val="Heading2"/>
        <w:spacing w:after="100"/>
      </w:pPr>
      <w:r>
        <w:rPr>
          <w:b w:val="0"/>
          <w:i w:val="0"/>
        </w:rPr>
        <w:t>What remained at the end</w:t>
      </w:r>
    </w:p>
    <w:p>
      <w:pPr>
        <w:spacing w:after="100"/>
      </w:pPr>
      <w:r>
        <w:rPr>
          <w:b w:val="0"/>
          <w:i w:val="0"/>
        </w:rPr>
        <w:t>Raghunātha’s late life can look, from outside, like a sequence of losses.</w:t>
      </w:r>
    </w:p>
    <w:p>
      <w:pPr>
        <w:spacing w:after="100"/>
      </w:pPr>
      <w:r>
        <w:rPr>
          <w:b w:val="0"/>
          <w:i w:val="0"/>
        </w:rPr>
        <w:t>His teachers disappeared. His body failed. His eyesight was gone. Food diminished. Sleep diminished. Physical independence diminished.</w:t>
      </w:r>
    </w:p>
    <w:p>
      <w:pPr>
        <w:spacing w:after="100"/>
      </w:pPr>
      <w:r>
        <w:rPr>
          <w:b w:val="0"/>
          <w:i w:val="0"/>
        </w:rPr>
        <w:t>Yet the sources do not leave us with emptiness.</w:t>
      </w:r>
    </w:p>
    <w:p>
      <w:pPr>
        <w:spacing w:after="100"/>
      </w:pPr>
      <w:r>
        <w:rPr>
          <w:b w:val="0"/>
          <w:i w:val="0"/>
        </w:rPr>
        <w:t>They leave him chanting.</w:t>
      </w:r>
    </w:p>
    <w:p>
      <w:pPr>
        <w:spacing w:after="100"/>
      </w:pPr>
      <w:r>
        <w:rPr>
          <w:b w:val="0"/>
          <w:i w:val="0"/>
        </w:rPr>
        <w:t>They leave him remembering Svarūpa, Rūpa and Sanātana.</w:t>
      </w:r>
    </w:p>
    <w:p>
      <w:pPr>
        <w:spacing w:after="100"/>
      </w:pPr>
      <w:r>
        <w:rPr>
          <w:b w:val="0"/>
          <w:i w:val="0"/>
        </w:rPr>
        <w:t>They leave him worshiping the Govardhana-śilā and guñjā-mālā Mahāprabhu had placed in his hands.</w:t>
      </w:r>
    </w:p>
    <w:p>
      <w:pPr>
        <w:spacing w:after="100"/>
      </w:pPr>
      <w:r>
        <w:rPr>
          <w:b w:val="0"/>
          <w:i w:val="0"/>
        </w:rPr>
        <w:t>They leave him concerned with the service and future custody of Rādhā-kuṇḍa.</w:t>
      </w:r>
    </w:p>
    <w:p>
      <w:pPr>
        <w:spacing w:after="100"/>
      </w:pPr>
      <w:r>
        <w:rPr>
          <w:b w:val="0"/>
          <w:i w:val="0"/>
        </w:rPr>
        <w:t>The young heir of Saptagrāma had spent his life trying to escape possession. Near the end, the final legal act we can securely place in his own lifetime is an act of relinquishment.</w:t>
      </w:r>
    </w:p>
    <w:p>
      <w:pPr>
        <w:spacing w:after="100"/>
      </w:pPr>
      <w:r>
        <w:rPr>
          <w:b w:val="0"/>
          <w:i w:val="0"/>
        </w:rPr>
        <w:t>He gives away what remained.</w:t>
      </w:r>
    </w:p>
    <w:p>
      <w:pPr>
        <w:spacing w:after="100"/>
      </w:pPr>
      <w:r>
        <w:rPr>
          <w:b w:val="0"/>
          <w:i w:val="0"/>
        </w:rPr>
        <w:t>And the biography now reaches the place where prose history must yield to sacred memory: his disappearance, his samādhi at Rādhā-kuṇḍa, and what a pilgrim standing there should remember.</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Raghunātha and Gopāla Bhaṭṭa burn in separation after Rūpa/Sanātana disappear</w:t>
            </w:r>
          </w:p>
        </w:tc>
        <w:tc>
          <w:tcPr>
            <w:tcW w:type="dxa" w:w="2513"/>
            <w:tcMar>
              <w:top w:w="55" w:type="dxa"/>
              <w:start w:w="60" w:type="dxa"/>
              <w:bottom w:w="55" w:type="dxa"/>
              <w:end w:w="60" w:type="dxa"/>
            </w:tcMar>
          </w:tcPr>
          <w:p>
            <w:r>
              <w:t>Bhakti-ratnākara, Śrīnivāsa Vraja-arrival sequence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devotional-historical late-life framing.</w:t>
            </w:r>
          </w:p>
        </w:tc>
      </w:tr>
      <w:tr>
        <w:trPr>
          <w:cantSplit/>
        </w:trPr>
        <w:tc>
          <w:tcPr>
            <w:tcW w:type="dxa" w:w="2513"/>
            <w:tcMar>
              <w:top w:w="55" w:type="dxa"/>
              <w:start w:w="60" w:type="dxa"/>
              <w:bottom w:w="55" w:type="dxa"/>
              <w:end w:w="60" w:type="dxa"/>
            </w:tcMar>
          </w:tcPr>
          <w:p>
            <w:r>
              <w:t>Raghunātha cries Svarūpa, Rūpa and Sanātana at Śrīnivāsa’s impending departure</w:t>
            </w:r>
          </w:p>
        </w:tc>
        <w:tc>
          <w:tcPr>
            <w:tcW w:type="dxa" w:w="2513"/>
            <w:tcMar>
              <w:top w:w="55" w:type="dxa"/>
              <w:start w:w="60" w:type="dxa"/>
              <w:bottom w:w="55" w:type="dxa"/>
              <w:end w:w="60" w:type="dxa"/>
            </w:tcMar>
          </w:tcPr>
          <w:p>
            <w:r>
              <w:t>Bhakti-ratnākara, book-mission leave-taking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Major late-life relationship/viraha scene.</w:t>
            </w:r>
          </w:p>
        </w:tc>
      </w:tr>
      <w:tr>
        <w:trPr>
          <w:cantSplit/>
        </w:trPr>
        <w:tc>
          <w:tcPr>
            <w:tcW w:type="dxa" w:w="2513"/>
            <w:tcMar>
              <w:top w:w="55" w:type="dxa"/>
              <w:start w:w="60" w:type="dxa"/>
              <w:bottom w:w="55" w:type="dxa"/>
              <w:end w:w="60" w:type="dxa"/>
            </w:tcMar>
          </w:tcPr>
          <w:p>
            <w:r>
              <w:t>Eating every three or four days; too weak for wind; unable to rise after daṇḍavat</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Extreme bodily weakness; do not present as prescriptive sādhana.</w:t>
            </w:r>
          </w:p>
        </w:tc>
      </w:tr>
      <w:tr>
        <w:trPr>
          <w:cantSplit/>
        </w:trPr>
        <w:tc>
          <w:tcPr>
            <w:tcW w:type="dxa" w:w="2513"/>
            <w:tcMar>
              <w:top w:w="55" w:type="dxa"/>
              <w:start w:w="60" w:type="dxa"/>
              <w:bottom w:w="55" w:type="dxa"/>
              <w:end w:w="60" w:type="dxa"/>
            </w:tcMar>
          </w:tcPr>
          <w:p>
            <w:r>
              <w:t>Continued worship of Govardhana-śilā and guñjā-mālā</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Strong continuity with Mahāprabhu’s Purī gifts.</w:t>
            </w:r>
          </w:p>
        </w:tc>
      </w:tr>
      <w:tr>
        <w:trPr>
          <w:cantSplit/>
        </w:trPr>
        <w:tc>
          <w:tcPr>
            <w:tcW w:type="dxa" w:w="2513"/>
            <w:tcMar>
              <w:top w:w="55" w:type="dxa"/>
              <w:start w:w="60" w:type="dxa"/>
              <w:bottom w:w="55" w:type="dxa"/>
              <w:end w:w="60" w:type="dxa"/>
            </w:tcMar>
          </w:tcPr>
          <w:p>
            <w:r>
              <w:t>Nāma-kīrtana, sleepless tears, Rādhā-Kṛṣṇa and Caitanya remembrance</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late devotional continuity, not merely physical decline.</w:t>
            </w:r>
          </w:p>
        </w:tc>
      </w:tr>
      <w:tr>
        <w:trPr>
          <w:cantSplit/>
        </w:trPr>
        <w:tc>
          <w:tcPr>
            <w:tcW w:type="dxa" w:w="2513"/>
            <w:tcMar>
              <w:top w:w="55" w:type="dxa"/>
              <w:start w:w="60" w:type="dxa"/>
              <w:bottom w:w="55" w:type="dxa"/>
              <w:end w:w="60" w:type="dxa"/>
            </w:tcMar>
          </w:tcPr>
          <w:p>
            <w:r>
              <w:t>Blind Raghunātha dictates death-bed settlement and transfers property for Rādhā-kuṇḍa service</w:t>
            </w:r>
          </w:p>
        </w:tc>
        <w:tc>
          <w:tcPr>
            <w:tcW w:type="dxa" w:w="2513"/>
            <w:tcMar>
              <w:top w:w="55" w:type="dxa"/>
              <w:start w:w="60" w:type="dxa"/>
              <w:bottom w:w="55" w:type="dxa"/>
              <w:end w:w="60" w:type="dxa"/>
            </w:tcMar>
          </w:tcPr>
          <w:p>
            <w:r>
              <w:t>1584 Sanskrit settlement; Mukherjee &amp; Wright, p. 318</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Strongest fixed documentary late-life horizon.</w:t>
            </w:r>
          </w:p>
        </w:tc>
      </w:tr>
      <w:tr>
        <w:trPr>
          <w:cantSplit/>
        </w:trPr>
        <w:tc>
          <w:tcPr>
            <w:tcW w:type="dxa" w:w="2513"/>
            <w:tcMar>
              <w:top w:w="55" w:type="dxa"/>
              <w:start w:w="60" w:type="dxa"/>
              <w:bottom w:w="55" w:type="dxa"/>
              <w:end w:w="60" w:type="dxa"/>
            </w:tcMar>
          </w:tcPr>
          <w:p>
            <w:r>
              <w:t>1588 hiba of six plots to Jīva</w:t>
            </w:r>
          </w:p>
        </w:tc>
        <w:tc>
          <w:tcPr>
            <w:tcW w:type="dxa" w:w="2513"/>
            <w:tcMar>
              <w:top w:w="55" w:type="dxa"/>
              <w:start w:w="60" w:type="dxa"/>
              <w:bottom w:w="55" w:type="dxa"/>
              <w:end w:w="60" w:type="dxa"/>
            </w:tcMar>
          </w:tcPr>
          <w:p>
            <w:r>
              <w:t>2 June 1588 declaration; Mukherjee/Habib documentary analysis</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Real later legal record; relationship to 1584 settlement unresolved.</w:t>
            </w:r>
          </w:p>
        </w:tc>
      </w:tr>
      <w:tr>
        <w:trPr>
          <w:cantSplit/>
        </w:trPr>
        <w:tc>
          <w:tcPr>
            <w:tcW w:type="dxa" w:w="2513"/>
            <w:tcMar>
              <w:top w:w="55" w:type="dxa"/>
              <w:start w:w="60" w:type="dxa"/>
              <w:bottom w:w="55" w:type="dxa"/>
              <w:end w:w="60" w:type="dxa"/>
            </w:tcMar>
          </w:tcPr>
          <w:p>
            <w:r>
              <w:t>Exact disappearance year</w:t>
            </w:r>
          </w:p>
        </w:tc>
        <w:tc>
          <w:tcPr>
            <w:tcW w:type="dxa" w:w="2513"/>
            <w:tcMar>
              <w:top w:w="55" w:type="dxa"/>
              <w:start w:w="60" w:type="dxa"/>
              <w:bottom w:w="55" w:type="dxa"/>
              <w:end w:w="60" w:type="dxa"/>
            </w:tcMar>
          </w:tcPr>
          <w:p>
            <w:r>
              <w:t>Conflicting devotional chronologies + documentary tension</w:t>
            </w:r>
          </w:p>
        </w:tc>
        <w:tc>
          <w:tcPr>
            <w:tcW w:type="dxa" w:w="2513"/>
            <w:tcMar>
              <w:top w:w="55" w:type="dxa"/>
              <w:start w:w="60" w:type="dxa"/>
              <w:bottom w:w="55" w:type="dxa"/>
              <w:end w:w="60" w:type="dxa"/>
            </w:tcMar>
          </w:tcPr>
          <w:p>
            <w:r>
              <w:t>OPEN</w:t>
            </w:r>
          </w:p>
        </w:tc>
        <w:tc>
          <w:tcPr>
            <w:tcW w:type="dxa" w:w="2513"/>
            <w:tcMar>
              <w:top w:w="55" w:type="dxa"/>
              <w:start w:w="60" w:type="dxa"/>
              <w:bottom w:w="55" w:type="dxa"/>
              <w:end w:w="60" w:type="dxa"/>
            </w:tcMar>
          </w:tcPr>
          <w:p>
            <w:r>
              <w:t>Do not force 1586, 1588 or another year as historically certain without further source resolution.</w:t>
            </w:r>
          </w:p>
        </w:tc>
      </w:tr>
    </w:tbl>
    <w:p/>
    <w:p>
      <w:pPr>
        <w:pStyle w:val="Heading2"/>
        <w:spacing w:after="80"/>
      </w:pPr>
      <w:r>
        <w:rPr>
          <w:b w:val="0"/>
          <w:i w:val="0"/>
        </w:rPr>
        <w:t>2. Chronology control</w:t>
      </w:r>
    </w:p>
    <w:p>
      <w:pPr>
        <w:spacing w:after="80"/>
        <w:ind w:left="259" w:hanging="173"/>
      </w:pPr>
      <w:r>
        <w:rPr>
          <w:b/>
        </w:rPr>
        <w:t xml:space="preserve">• </w:t>
      </w:r>
      <w:r>
        <w:t>Treat 1584 as a secure documentary late-life horizon because the Sanskrit settlement explicitly presents itself as dictated at Raghunātha’s end-time/death bed.</w:t>
      </w:r>
    </w:p>
    <w:p>
      <w:pPr>
        <w:spacing w:after="80"/>
        <w:ind w:left="259" w:hanging="173"/>
      </w:pPr>
      <w:r>
        <w:rPr>
          <w:b/>
        </w:rPr>
        <w:t xml:space="preserve">• </w:t>
      </w:r>
      <w:r>
        <w:t>Do not convert the 1584 wording automatically into proof that he died immediately after dictation; testamentary or death-bed language can precede death by an uncertain interval.</w:t>
      </w:r>
    </w:p>
    <w:p>
      <w:pPr>
        <w:spacing w:after="80"/>
        <w:ind w:left="259" w:hanging="173"/>
      </w:pPr>
      <w:r>
        <w:rPr>
          <w:b/>
        </w:rPr>
        <w:t xml:space="preserve">• </w:t>
      </w:r>
      <w:r>
        <w:t>Do not convert the 1588 hiba automatically into proof of personal survival to 2 June 1588 until the legal and copy relationship between the 1584 and 1588 instruments is fully resolved.</w:t>
      </w:r>
    </w:p>
    <w:p>
      <w:pPr>
        <w:spacing w:after="80"/>
        <w:ind w:left="259" w:hanging="173"/>
      </w:pPr>
      <w:r>
        <w:rPr>
          <w:b/>
        </w:rPr>
        <w:t xml:space="preserve">• </w:t>
      </w:r>
      <w:r>
        <w:t>The project has already identified tensions in the documentary purchase/transfer chronology. Publication-quality chronology requires collation of the surviving Sanskrit copies and Persian records.</w:t>
      </w:r>
    </w:p>
    <w:p>
      <w:pPr>
        <w:spacing w:after="80"/>
        <w:ind w:left="259" w:hanging="173"/>
      </w:pPr>
      <w:r>
        <w:rPr>
          <w:b/>
        </w:rPr>
        <w:t xml:space="preserve">• </w:t>
      </w:r>
      <w:r>
        <w:t>Later devotional disappearance dates should be preserved as tradition, not silently promoted over documentary uncertainty.</w:t>
      </w:r>
    </w:p>
    <w:p>
      <w:pPr>
        <w:pStyle w:val="Heading2"/>
        <w:spacing w:after="80"/>
      </w:pPr>
      <w:r>
        <w:rPr>
          <w:b w:val="0"/>
          <w:i w:val="0"/>
        </w:rPr>
        <w:t>3. Literary and theological controls</w:t>
      </w:r>
    </w:p>
    <w:p>
      <w:pPr>
        <w:spacing w:after="80"/>
        <w:ind w:left="259" w:hanging="173"/>
      </w:pPr>
      <w:r>
        <w:rPr>
          <w:b/>
        </w:rPr>
        <w:t xml:space="preserve">• </w:t>
      </w:r>
      <w:r>
        <w:t>Do not romanticize starvation, blindness, sleeplessness or physical collapse. The chapter describes late-life conditions; it does not recommend them.</w:t>
      </w:r>
    </w:p>
    <w:p>
      <w:pPr>
        <w:spacing w:after="80"/>
        <w:ind w:left="259" w:hanging="173"/>
      </w:pPr>
      <w:r>
        <w:rPr>
          <w:b/>
        </w:rPr>
        <w:t xml:space="preserve">• </w:t>
      </w:r>
      <w:r>
        <w:t>Keep viraha relational: Svarūpa, Rūpa and Sanātana are named persons in the remembered late-life scenes, not abstractions.</w:t>
      </w:r>
    </w:p>
    <w:p>
      <w:pPr>
        <w:spacing w:after="80"/>
        <w:ind w:left="259" w:hanging="173"/>
      </w:pPr>
      <w:r>
        <w:rPr>
          <w:b/>
        </w:rPr>
        <w:t xml:space="preserve">• </w:t>
      </w:r>
      <w:r>
        <w:t>The continued Govardhana-śilā/guñjā-mālā worship is a major biographical continuity point and should remain central.</w:t>
      </w:r>
    </w:p>
    <w:p>
      <w:pPr>
        <w:spacing w:after="80"/>
        <w:ind w:left="259" w:hanging="173"/>
      </w:pPr>
      <w:r>
        <w:rPr>
          <w:b/>
        </w:rPr>
        <w:t xml:space="preserve">• </w:t>
      </w:r>
      <w:r>
        <w:t>The 1584 settlement belongs in the biography only insofar as it reveals Raghunātha at the end of life: blind, service-centered, relinquishing property. Detailed property history remains in the Rādhā-kuṇḍa historical dossier.</w:t>
      </w:r>
    </w:p>
    <w:p>
      <w:pPr>
        <w:spacing w:after="80"/>
        <w:ind w:left="259" w:hanging="173"/>
      </w:pPr>
      <w:r>
        <w:rPr>
          <w:b/>
        </w:rPr>
        <w:t xml:space="preserve">• </w:t>
      </w:r>
      <w:r>
        <w:t>Avoid constructing an unrecorded death scene. The sources support a final-years portrait and a samādhi tradition; they do not presently supply a secure eyewitness narrative of the exact moment of disappearance.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RDGB-17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RDGB-17 — The Last Years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