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RDGB-18</w:t>
      </w:r>
    </w:p>
    <w:p>
      <w:pPr>
        <w:pStyle w:val="Title"/>
        <w:spacing w:after="20"/>
      </w:pPr>
      <w:r>
        <w:rPr>
          <w:b w:val="0"/>
          <w:i w:val="0"/>
        </w:rPr>
        <w:t>At His Samādhi</w:t>
      </w:r>
    </w:p>
    <w:p>
      <w:pPr>
        <w:pStyle w:val="Subtitle"/>
        <w:spacing w:after="160"/>
      </w:pPr>
      <w:r>
        <w:rPr>
          <w:b w:val="0"/>
          <w:i w:val="0"/>
        </w:rPr>
        <w:t>What a pilgrim should remember</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At His Samādhi</w:t>
      </w:r>
    </w:p>
    <w:p>
      <w:pPr>
        <w:spacing w:after="100"/>
      </w:pPr>
      <w:r>
        <w:rPr>
          <w:b w:val="0"/>
          <w:i w:val="0"/>
        </w:rPr>
        <w:t>A biography naturally wants a final scene.</w:t>
      </w:r>
    </w:p>
    <w:p>
      <w:pPr>
        <w:spacing w:after="100"/>
      </w:pPr>
      <w:r>
        <w:rPr>
          <w:b w:val="0"/>
          <w:i w:val="0"/>
        </w:rPr>
        <w:t>For Raghunātha dāsa Gosvāmī, the sources do not give us one that can be narrated with confidence.</w:t>
      </w:r>
    </w:p>
    <w:p>
      <w:pPr>
        <w:spacing w:after="100"/>
      </w:pPr>
      <w:r>
        <w:rPr>
          <w:b w:val="0"/>
          <w:i w:val="0"/>
        </w:rPr>
        <w:t>We know the condition of his last years. We know that he had become blind and extraordinarily weak. We know that the names of Svarūpa, Rūpa and Sanātana still brought him to tears. We know that Mahāprabhu’s Govardhana-śilā and guñjā-mālā remained in his worship. We know that in 1584 he dictated a settlement from what the document itself calls his death bed, still identifying himself through service to Rādhā-kuṇḍa.</w:t>
      </w:r>
    </w:p>
    <w:p>
      <w:pPr>
        <w:spacing w:after="100"/>
      </w:pPr>
      <w:r>
        <w:rPr>
          <w:b w:val="0"/>
          <w:i w:val="0"/>
        </w:rPr>
        <w:t>What we do not securely possess is an eyewitness account of the precise moment in which he left this world.</w:t>
      </w:r>
    </w:p>
    <w:p>
      <w:pPr>
        <w:spacing w:after="100"/>
      </w:pPr>
      <w:r>
        <w:rPr>
          <w:b w:val="0"/>
          <w:i w:val="0"/>
        </w:rPr>
        <w:t>So the biography should not manufacture one.</w:t>
      </w:r>
    </w:p>
    <w:p>
      <w:pPr>
        <w:pStyle w:val="Heading2"/>
        <w:spacing w:after="100"/>
      </w:pPr>
      <w:r>
        <w:rPr>
          <w:b w:val="0"/>
          <w:i w:val="0"/>
        </w:rPr>
        <w:t>The disappearance date</w:t>
      </w:r>
    </w:p>
    <w:p>
      <w:pPr>
        <w:spacing w:after="100"/>
      </w:pPr>
      <w:r>
        <w:rPr>
          <w:b w:val="0"/>
          <w:i w:val="0"/>
        </w:rPr>
        <w:t>Living Gauḍīya traditions preserve disappearance dates and observe Raghunātha’s tirobhāva with devotion. Those traditions belong in the record and should be honored as tradition.</w:t>
      </w:r>
    </w:p>
    <w:p>
      <w:pPr>
        <w:spacing w:after="100"/>
      </w:pPr>
      <w:r>
        <w:rPr>
          <w:b w:val="0"/>
          <w:i w:val="0"/>
        </w:rPr>
        <w:t>Historically, however, the late documentary evidence remains difficult. The 1584 Sanskrit death-bed settlement is secure enough to provide a strong late-life horizon. A 1588 legal record also preserves a transfer in his name. Until the relationship between these documents is completely resolved, no single Gregorian disappearance year should be presented here as certain.</w:t>
      </w:r>
    </w:p>
    <w:p>
      <w:pPr>
        <w:spacing w:after="100"/>
      </w:pPr>
      <w:r>
        <w:rPr>
          <w:b w:val="0"/>
          <w:i w:val="0"/>
        </w:rPr>
        <w:t>This is not a place where precision must be invented in order for devotion to remain meaningful.</w:t>
      </w:r>
    </w:p>
    <w:p>
      <w:pPr>
        <w:spacing w:after="100"/>
      </w:pPr>
      <w:r>
        <w:rPr>
          <w:b w:val="0"/>
          <w:i w:val="0"/>
        </w:rPr>
        <w:t>The end of his life is historically indistinct. The place in which his life came to rest is not.</w:t>
      </w:r>
    </w:p>
    <w:p>
      <w:pPr>
        <w:pStyle w:val="Heading2"/>
        <w:spacing w:after="100"/>
      </w:pPr>
      <w:r>
        <w:rPr>
          <w:b w:val="0"/>
          <w:i w:val="0"/>
        </w:rPr>
        <w:t>The samādhi at Rādhā-kuṇḍa</w:t>
      </w:r>
    </w:p>
    <w:p>
      <w:pPr>
        <w:spacing w:after="100"/>
      </w:pPr>
      <w:r>
        <w:rPr>
          <w:b w:val="0"/>
          <w:i w:val="0"/>
        </w:rPr>
        <w:t>The living Rādhā-kuṇḍa tradition venerates Raghunātha’s samādhi in the sacred complex on the northern side of Rādhā-kuṇḍa, in association with his bhajana-kuṭīra.</w:t>
      </w:r>
    </w:p>
    <w:p>
      <w:pPr>
        <w:spacing w:after="100"/>
      </w:pPr>
      <w:r>
        <w:rPr>
          <w:b w:val="0"/>
          <w:i w:val="0"/>
        </w:rPr>
        <w:t>Modern descriptions of the site record a samādhi-mandira there, and his disappearance day continues to be observed at the samādhi.</w:t>
      </w:r>
    </w:p>
    <w:p>
      <w:pPr>
        <w:spacing w:after="100"/>
      </w:pPr>
      <w:r>
        <w:rPr>
          <w:b w:val="0"/>
          <w:i w:val="0"/>
        </w:rPr>
        <w:t>The present marble shrine and its architectural form belong to the later history of the site. The biography therefore should not claim that every visible feature is unchanged from the sixteenth century.</w:t>
      </w:r>
    </w:p>
    <w:p>
      <w:pPr>
        <w:spacing w:after="100"/>
      </w:pPr>
      <w:r>
        <w:rPr>
          <w:b w:val="0"/>
          <w:i w:val="0"/>
        </w:rPr>
        <w:t>But as a place of Gauḍīya memory, the samādhi is the natural endpoint of Raghunātha’s pilgrimage biography.</w:t>
      </w:r>
    </w:p>
    <w:p>
      <w:pPr>
        <w:spacing w:after="100"/>
      </w:pPr>
      <w:r>
        <w:rPr>
          <w:b w:val="0"/>
          <w:i w:val="0"/>
        </w:rPr>
        <w:t>He had prayed: “Here alone shall be my residence; here alone shall be my abiding place.” The tradition remembers him there still.</w:t>
      </w:r>
    </w:p>
    <w:p>
      <w:pPr>
        <w:pStyle w:val="Heading2"/>
        <w:spacing w:after="100"/>
      </w:pPr>
      <w:r>
        <w:rPr>
          <w:b w:val="0"/>
          <w:i w:val="0"/>
        </w:rPr>
        <w:t>Do not remember only the renunciation</w:t>
      </w:r>
    </w:p>
    <w:p>
      <w:pPr>
        <w:spacing w:after="100"/>
      </w:pPr>
      <w:r>
        <w:rPr>
          <w:b w:val="0"/>
          <w:i w:val="0"/>
        </w:rPr>
        <w:t>A pilgrim approaching the samādhi can easily remember the spectacular things.</w:t>
      </w:r>
    </w:p>
    <w:p>
      <w:pPr>
        <w:spacing w:after="100"/>
      </w:pPr>
      <w:r>
        <w:rPr>
          <w:b w:val="0"/>
          <w:i w:val="0"/>
        </w:rPr>
        <w:t>The wealthy heir who escaped without money. The twelve-day journey to Purī. The man who begged, then rejected even ordinary begging. The rice even the cows refused. The thousand daṇḍavats. The one lakh names. The body reduced almost to nothing.</w:t>
      </w:r>
    </w:p>
    <w:p>
      <w:pPr>
        <w:spacing w:after="100"/>
      </w:pPr>
      <w:r>
        <w:rPr>
          <w:b w:val="0"/>
          <w:i w:val="0"/>
        </w:rPr>
        <w:t>All of that belongs to Raghunātha.</w:t>
      </w:r>
    </w:p>
    <w:p>
      <w:pPr>
        <w:spacing w:after="100"/>
      </w:pPr>
      <w:r>
        <w:rPr>
          <w:b w:val="0"/>
          <w:i w:val="0"/>
        </w:rPr>
        <w:t>But none of it is the center.</w:t>
      </w:r>
    </w:p>
    <w:p>
      <w:pPr>
        <w:spacing w:after="100"/>
      </w:pPr>
      <w:r>
        <w:rPr>
          <w:b w:val="0"/>
          <w:i w:val="0"/>
        </w:rPr>
        <w:t>The center is relationship.</w:t>
      </w:r>
    </w:p>
    <w:p>
      <w:pPr>
        <w:pStyle w:val="Heading2"/>
        <w:spacing w:after="80"/>
      </w:pPr>
      <w:r>
        <w:rPr>
          <w:b w:val="0"/>
          <w:i w:val="0"/>
        </w:rPr>
        <w:t>Haridāsa</w:t>
      </w:r>
    </w:p>
    <w:p>
      <w:pPr>
        <w:spacing w:after="100"/>
      </w:pPr>
      <w:r>
        <w:rPr>
          <w:b w:val="0"/>
          <w:i w:val="0"/>
        </w:rPr>
        <w:t>Remember the boy who repeatedly went to Haridāsa Ṭhākura. Before the great renunciant existed, there was a child drawn toward a saint whose life was the holy name.</w:t>
      </w:r>
    </w:p>
    <w:p>
      <w:pPr>
        <w:pStyle w:val="Heading2"/>
        <w:spacing w:after="80"/>
      </w:pPr>
      <w:r>
        <w:rPr>
          <w:b w:val="0"/>
          <w:i w:val="0"/>
        </w:rPr>
        <w:t>Nityānanda</w:t>
      </w:r>
    </w:p>
    <w:p>
      <w:pPr>
        <w:spacing w:after="100"/>
      </w:pPr>
      <w:r>
        <w:rPr>
          <w:b w:val="0"/>
          <w:i w:val="0"/>
        </w:rPr>
        <w:t>Remember Pānihāṭi. Raghunātha’s door to freedom did not open through a private heroic escape plan. Nityānanda first made him serve the Vaiṣṇavas and receive their blessing.</w:t>
      </w:r>
    </w:p>
    <w:p>
      <w:pPr>
        <w:pStyle w:val="Heading2"/>
        <w:spacing w:after="80"/>
      </w:pPr>
      <w:r>
        <w:rPr>
          <w:b w:val="0"/>
          <w:i w:val="0"/>
        </w:rPr>
        <w:t>Mahāprabhu and Svarūpa</w:t>
      </w:r>
    </w:p>
    <w:p>
      <w:pPr>
        <w:spacing w:after="100"/>
      </w:pPr>
      <w:r>
        <w:rPr>
          <w:b w:val="0"/>
          <w:i w:val="0"/>
        </w:rPr>
        <w:t>Remember that Mahāprabhu did not simply approve his renunciation. He entrusted Raghunātha to Svarūpa Dāmodara. For sixteen years Raghunātha learned to live near the most intimate currents of Caitanya’s final līlā. His memory later became one of the channels through which that world reached Kṛṣṇadāsa Kavirāja.</w:t>
      </w:r>
    </w:p>
    <w:p>
      <w:pPr>
        <w:pStyle w:val="Heading2"/>
        <w:spacing w:after="80"/>
      </w:pPr>
      <w:r>
        <w:rPr>
          <w:b w:val="0"/>
          <w:i w:val="0"/>
        </w:rPr>
        <w:t>Rūpa and Sanātana</w:t>
      </w:r>
    </w:p>
    <w:p>
      <w:pPr>
        <w:spacing w:after="100"/>
      </w:pPr>
      <w:r>
        <w:rPr>
          <w:b w:val="0"/>
          <w:i w:val="0"/>
        </w:rPr>
        <w:t>Remember that Raghunātha came to Vraja intending to die at Govardhana. Rūpa and Sanātana would not let him. They accepted him as their own third brother. His Rādhā-kuṇḍa life exists on the other side of that mercy.</w:t>
      </w:r>
    </w:p>
    <w:p>
      <w:pPr>
        <w:pStyle w:val="Heading2"/>
        <w:spacing w:after="80"/>
      </w:pPr>
      <w:r>
        <w:rPr>
          <w:b w:val="0"/>
          <w:i w:val="0"/>
        </w:rPr>
        <w:t>Govardhana and the guñjā-mālā</w:t>
      </w:r>
    </w:p>
    <w:p>
      <w:pPr>
        <w:spacing w:after="100"/>
      </w:pPr>
      <w:r>
        <w:rPr>
          <w:b w:val="0"/>
          <w:i w:val="0"/>
        </w:rPr>
        <w:t>Remember what Mahāprabhu placed in his hands: the Govardhana-śilā and the guñjā garland. Raghunātha understood them as residence at Govardhana and shelter at the feet of Śrī Rādhā. Decades later, in extreme old age, he was still worshiping those gifts.</w:t>
      </w:r>
    </w:p>
    <w:p>
      <w:pPr>
        <w:pStyle w:val="Heading2"/>
        <w:spacing w:after="80"/>
      </w:pPr>
      <w:r>
        <w:rPr>
          <w:b w:val="0"/>
          <w:i w:val="0"/>
        </w:rPr>
        <w:t>Rādhā-kuṇḍa</w:t>
      </w:r>
    </w:p>
    <w:p>
      <w:pPr>
        <w:spacing w:after="100"/>
      </w:pPr>
      <w:r>
        <w:rPr>
          <w:b w:val="0"/>
          <w:i w:val="0"/>
        </w:rPr>
        <w:t>Remember that Rādhā-kuṇḍa was not merely where he retired. It was the place he repeatedly named as shelter, the place in which he asked to reside, the landscape of his mānasī-sevā, the place whose waters he served, and the community in which younger Vaiṣṇavas eventually came to him for blessing.</w:t>
      </w:r>
    </w:p>
    <w:p>
      <w:pPr>
        <w:pStyle w:val="Heading2"/>
        <w:spacing w:after="100"/>
      </w:pPr>
      <w:r>
        <w:rPr>
          <w:b w:val="0"/>
          <w:i w:val="0"/>
        </w:rPr>
        <w:t>Rādhā-dāsya</w:t>
      </w:r>
    </w:p>
    <w:p>
      <w:pPr>
        <w:spacing w:after="100"/>
      </w:pPr>
      <w:r>
        <w:rPr>
          <w:b w:val="0"/>
          <w:i w:val="0"/>
        </w:rPr>
        <w:t>Finally, remember the voice behind the austerity.</w:t>
      </w:r>
    </w:p>
    <w:p>
      <w:pPr>
        <w:spacing w:after="100"/>
      </w:pPr>
      <w:r>
        <w:rPr>
          <w:b w:val="0"/>
          <w:i w:val="0"/>
        </w:rPr>
        <w:t>In Vilāpa-kusumāñjali, Raghunātha does not present himself as the greatest renunciant. He presents himself as a servant unable to live without her Mistress.</w:t>
      </w:r>
    </w:p>
    <w:p>
      <w:pPr>
        <w:spacing w:after="100"/>
      </w:pPr>
      <w:r>
        <w:rPr>
          <w:b w:val="0"/>
          <w:i w:val="0"/>
        </w:rPr>
        <w:t>The verse immediately before his declaration that Rādhā-kuṇḍa will be his residence gives perhaps the simplest prayer with which to stand at his samādhi:</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p>
    <w:p>
      <w:pPr>
        <w:keepLines/>
        <w:spacing w:after="140"/>
        <w:ind w:left="504" w:right="216"/>
      </w:pPr>
      <w:r>
        <w:rPr>
          <w:i/>
        </w:rPr>
        <w:t>“I am Yours. I am Yours. I cannot live without You. Knowing this, O Devī, please bring me near Your feet.”</w:t>
      </w:r>
    </w:p>
    <w:p>
      <w:pPr>
        <w:spacing w:after="100"/>
      </w:pPr>
      <w:r>
        <w:rPr>
          <w:b w:val="0"/>
          <w:i w:val="0"/>
        </w:rPr>
        <w:t>Then comes the next verse:</w:t>
      </w:r>
    </w:p>
    <w:p>
      <w:pPr>
        <w:keepLines/>
        <w:spacing w:after="140"/>
        <w:ind w:left="504" w:right="288"/>
      </w:pPr>
      <w:r>
        <w:rPr>
          <w:i/>
        </w:rPr>
        <w:t>“Your own kuṇḍa is the eternal abode of You together with Your beloved. Here alone shall be my residence; here alone shall be my abiding place.”</w:t>
      </w:r>
    </w:p>
    <w:p>
      <w:pPr>
        <w:spacing w:after="100"/>
      </w:pPr>
      <w:r>
        <w:rPr>
          <w:b w:val="0"/>
          <w:i w:val="0"/>
        </w:rPr>
        <w:t>Those two prayers are a better epitaph for Raghunātha than a list of austerities.</w:t>
      </w:r>
    </w:p>
    <w:p>
      <w:pPr>
        <w:spacing w:after="100"/>
      </w:pPr>
      <w:r>
        <w:rPr>
          <w:b w:val="0"/>
          <w:i w:val="0"/>
        </w:rPr>
        <w:t>He began life inside immense possession and spent decades relinquishing everything that could stand between himself and service.</w:t>
      </w:r>
    </w:p>
    <w:p>
      <w:pPr>
        <w:spacing w:after="100"/>
      </w:pPr>
      <w:r>
        <w:rPr>
          <w:b w:val="0"/>
          <w:i w:val="0"/>
        </w:rPr>
        <w:t>At the end, the biography does not leave him as a man who possessed nothing.</w:t>
      </w:r>
    </w:p>
    <w:p>
      <w:pPr>
        <w:spacing w:after="100"/>
      </w:pPr>
      <w:r>
        <w:rPr>
          <w:b w:val="0"/>
          <w:i w:val="0"/>
        </w:rPr>
        <w:t>It leaves him belonging completely.</w:t>
      </w:r>
    </w:p>
    <w:p>
      <w:pPr>
        <w:pStyle w:val="Heading2"/>
        <w:spacing w:after="100"/>
      </w:pPr>
      <w:r>
        <w:rPr>
          <w:b w:val="0"/>
          <w:i w:val="0"/>
        </w:rPr>
        <w:t>For the pilgrim</w:t>
      </w:r>
    </w:p>
    <w:p>
      <w:pPr>
        <w:spacing w:after="100"/>
      </w:pPr>
      <w:r>
        <w:rPr>
          <w:b w:val="0"/>
          <w:i w:val="0"/>
        </w:rPr>
        <w:t>When you stand before Raghunātha dāsa Gosvāmī’s samādhi at Rādhā-kuṇḍa, there is no need to reproduce his austerities in imagination.</w:t>
      </w:r>
    </w:p>
    <w:p>
      <w:pPr>
        <w:spacing w:after="100"/>
      </w:pPr>
      <w:r>
        <w:rPr>
          <w:b w:val="0"/>
          <w:i w:val="0"/>
        </w:rPr>
        <w:t>Remember the chain of mercy that formed him.</w:t>
      </w:r>
    </w:p>
    <w:p>
      <w:pPr>
        <w:spacing w:after="100"/>
      </w:pPr>
      <w:r>
        <w:rPr>
          <w:b w:val="0"/>
          <w:i w:val="0"/>
        </w:rPr>
        <w:t>Remember the holy name learned in the shadow of Haridāsa. Remember Nityānanda’s feast. Remember Svarūpera Raghu. Remember the Govardhana-śilā wet with Mahāprabhu’s tears. Remember Rūpa and Sanātana refusing his death. Remember the old man rising from weakness to embrace younger Vaiṣṇavas. Remember the poet who said that without Rādhā’s mercy even Vraja itself had no meaning.</w:t>
      </w:r>
    </w:p>
    <w:p>
      <w:pPr>
        <w:spacing w:after="100"/>
      </w:pPr>
      <w:r>
        <w:rPr>
          <w:b w:val="0"/>
          <w:i w:val="0"/>
        </w:rPr>
        <w:t>And then remember the prayer with which he chose his home:</w:t>
      </w:r>
    </w:p>
    <w:p>
      <w:pPr>
        <w:spacing w:after="100"/>
      </w:pPr>
      <w:r>
        <w:rPr>
          <w:b w:val="0"/>
          <w:i w:val="0"/>
        </w:rPr>
        <w:t>Here alone shall be my residence.</w:t>
      </w:r>
    </w:p>
    <w:p>
      <w:pPr>
        <w:spacing w:after="100"/>
      </w:pPr>
      <w:r>
        <w:rPr>
          <w:b w:val="0"/>
          <w:i w:val="0"/>
        </w:rPr>
        <w:t>That is where his story ends.</w:t>
      </w:r>
    </w:p>
    <w:p>
      <w:pPr>
        <w:pStyle w:val="Heading1"/>
        <w:spacing w:after="120"/>
      </w:pPr>
      <w:r>
        <w:t>SCHOLARLY CONTROL APPARATUS</w:t>
      </w:r>
    </w:p>
    <w:p>
      <w:pPr>
        <w:pStyle w:val="Heading2"/>
        <w:spacing w:after="80"/>
      </w:pPr>
      <w:r>
        <w:rPr>
          <w:b w:val="0"/>
          <w:i w:val="0"/>
        </w:rPr>
        <w:t>1. Evidence and memory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Closing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No secure eyewitness final-moment narrative</w:t>
            </w:r>
          </w:p>
        </w:tc>
        <w:tc>
          <w:tcPr>
            <w:tcW w:type="dxa" w:w="2513"/>
            <w:tcMar>
              <w:top w:w="55" w:type="dxa"/>
              <w:start w:w="60" w:type="dxa"/>
              <w:bottom w:w="55" w:type="dxa"/>
              <w:end w:w="60" w:type="dxa"/>
            </w:tcMar>
          </w:tcPr>
          <w:p>
            <w:r>
              <w:t>Current source corpus</w:t>
            </w:r>
          </w:p>
        </w:tc>
        <w:tc>
          <w:tcPr>
            <w:tcW w:type="dxa" w:w="2513"/>
            <w:tcMar>
              <w:top w:w="55" w:type="dxa"/>
              <w:start w:w="60" w:type="dxa"/>
              <w:bottom w:w="55" w:type="dxa"/>
              <w:end w:w="60" w:type="dxa"/>
            </w:tcMar>
          </w:tcPr>
          <w:p>
            <w:r>
              <w:t>NEGATIVE FINDING</w:t>
            </w:r>
          </w:p>
        </w:tc>
        <w:tc>
          <w:tcPr>
            <w:tcW w:type="dxa" w:w="2513"/>
            <w:tcMar>
              <w:top w:w="55" w:type="dxa"/>
              <w:start w:w="60" w:type="dxa"/>
              <w:bottom w:w="55" w:type="dxa"/>
              <w:end w:w="60" w:type="dxa"/>
            </w:tcMar>
          </w:tcPr>
          <w:p>
            <w:r>
              <w:t>Do not invent a disappearance scene.</w:t>
            </w:r>
          </w:p>
        </w:tc>
      </w:tr>
      <w:tr>
        <w:trPr>
          <w:cantSplit/>
        </w:trPr>
        <w:tc>
          <w:tcPr>
            <w:tcW w:type="dxa" w:w="2513"/>
            <w:tcMar>
              <w:top w:w="55" w:type="dxa"/>
              <w:start w:w="60" w:type="dxa"/>
              <w:bottom w:w="55" w:type="dxa"/>
              <w:end w:w="60" w:type="dxa"/>
            </w:tcMar>
          </w:tcPr>
          <w:p>
            <w:r>
              <w:t>1584 death-bed settlement</w:t>
            </w:r>
          </w:p>
        </w:tc>
        <w:tc>
          <w:tcPr>
            <w:tcW w:type="dxa" w:w="2513"/>
            <w:tcMar>
              <w:top w:w="55" w:type="dxa"/>
              <w:start w:w="60" w:type="dxa"/>
              <w:bottom w:w="55" w:type="dxa"/>
              <w:end w:w="60" w:type="dxa"/>
            </w:tcMar>
          </w:tcPr>
          <w:p>
            <w:r>
              <w:t>Mukherjee &amp; Wright, Sanskrit settlement, p. 318</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Strong late-life horizon; blind Raghunātha, Rādhā-kuṇḍa service, property relinquishment.</w:t>
            </w:r>
          </w:p>
        </w:tc>
      </w:tr>
      <w:tr>
        <w:trPr>
          <w:cantSplit/>
        </w:trPr>
        <w:tc>
          <w:tcPr>
            <w:tcW w:type="dxa" w:w="2513"/>
            <w:tcMar>
              <w:top w:w="55" w:type="dxa"/>
              <w:start w:w="60" w:type="dxa"/>
              <w:bottom w:w="55" w:type="dxa"/>
              <w:end w:w="60" w:type="dxa"/>
            </w:tcMar>
          </w:tcPr>
          <w:p>
            <w:r>
              <w:t>1588 hiba record</w:t>
            </w:r>
          </w:p>
        </w:tc>
        <w:tc>
          <w:tcPr>
            <w:tcW w:type="dxa" w:w="2513"/>
            <w:tcMar>
              <w:top w:w="55" w:type="dxa"/>
              <w:start w:w="60" w:type="dxa"/>
              <w:bottom w:w="55" w:type="dxa"/>
              <w:end w:w="60" w:type="dxa"/>
            </w:tcMar>
          </w:tcPr>
          <w:p>
            <w:r>
              <w:t>2 June 1588 declaration</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Creates unresolved late chronology; do not force exact death year.</w:t>
            </w:r>
          </w:p>
        </w:tc>
      </w:tr>
      <w:tr>
        <w:trPr>
          <w:cantSplit/>
        </w:trPr>
        <w:tc>
          <w:tcPr>
            <w:tcW w:type="dxa" w:w="2513"/>
            <w:tcMar>
              <w:top w:w="55" w:type="dxa"/>
              <w:start w:w="60" w:type="dxa"/>
              <w:bottom w:w="55" w:type="dxa"/>
              <w:end w:w="60" w:type="dxa"/>
            </w:tcMar>
          </w:tcPr>
          <w:p>
            <w:r>
              <w:t>Present Raghunātha samādhi-mandira on northern side of Rādhā-kuṇḍa</w:t>
            </w:r>
          </w:p>
        </w:tc>
        <w:tc>
          <w:tcPr>
            <w:tcW w:type="dxa" w:w="2513"/>
            <w:tcMar>
              <w:top w:w="55" w:type="dxa"/>
              <w:start w:w="60" w:type="dxa"/>
              <w:bottom w:w="55" w:type="dxa"/>
              <w:end w:w="60" w:type="dxa"/>
            </w:tcMar>
          </w:tcPr>
          <w:p>
            <w:r>
              <w:t>Modern/local Rādhā-kuṇḍa tradition</w:t>
            </w:r>
          </w:p>
        </w:tc>
        <w:tc>
          <w:tcPr>
            <w:tcW w:type="dxa" w:w="2513"/>
            <w:tcMar>
              <w:top w:w="55" w:type="dxa"/>
              <w:start w:w="60" w:type="dxa"/>
              <w:bottom w:w="55" w:type="dxa"/>
              <w:end w:w="60" w:type="dxa"/>
            </w:tcMar>
          </w:tcPr>
          <w:p>
            <w:r>
              <w:t>C</w:t>
            </w:r>
          </w:p>
        </w:tc>
        <w:tc>
          <w:tcPr>
            <w:tcW w:type="dxa" w:w="2513"/>
            <w:tcMar>
              <w:top w:w="55" w:type="dxa"/>
              <w:start w:w="60" w:type="dxa"/>
              <w:bottom w:w="55" w:type="dxa"/>
              <w:end w:w="60" w:type="dxa"/>
            </w:tcMar>
          </w:tcPr>
          <w:p>
            <w:r>
              <w:t>Living sacred-memory location; present architecture not automatically sixteenth-century.</w:t>
            </w:r>
          </w:p>
        </w:tc>
      </w:tr>
      <w:tr>
        <w:trPr>
          <w:cantSplit/>
        </w:trPr>
        <w:tc>
          <w:tcPr>
            <w:tcW w:type="dxa" w:w="2513"/>
            <w:tcMar>
              <w:top w:w="55" w:type="dxa"/>
              <w:start w:w="60" w:type="dxa"/>
              <w:bottom w:w="55" w:type="dxa"/>
              <w:end w:w="60" w:type="dxa"/>
            </w:tcMar>
          </w:tcPr>
          <w:p>
            <w:r>
              <w:t>Disappearance day observed at samādhi</w:t>
            </w:r>
          </w:p>
        </w:tc>
        <w:tc>
          <w:tcPr>
            <w:tcW w:type="dxa" w:w="2513"/>
            <w:tcMar>
              <w:top w:w="55" w:type="dxa"/>
              <w:start w:w="60" w:type="dxa"/>
              <w:bottom w:w="55" w:type="dxa"/>
              <w:end w:w="60" w:type="dxa"/>
            </w:tcMar>
          </w:tcPr>
          <w:p>
            <w:r>
              <w:t>Modern/local festival tradition</w:t>
            </w:r>
          </w:p>
        </w:tc>
        <w:tc>
          <w:tcPr>
            <w:tcW w:type="dxa" w:w="2513"/>
            <w:tcMar>
              <w:top w:w="55" w:type="dxa"/>
              <w:start w:w="60" w:type="dxa"/>
              <w:bottom w:w="55" w:type="dxa"/>
              <w:end w:w="60" w:type="dxa"/>
            </w:tcMar>
          </w:tcPr>
          <w:p>
            <w:r>
              <w:t>C</w:t>
            </w:r>
          </w:p>
        </w:tc>
        <w:tc>
          <w:tcPr>
            <w:tcW w:type="dxa" w:w="2513"/>
            <w:tcMar>
              <w:top w:w="55" w:type="dxa"/>
              <w:start w:w="60" w:type="dxa"/>
              <w:bottom w:w="55" w:type="dxa"/>
              <w:end w:w="60" w:type="dxa"/>
            </w:tcMar>
          </w:tcPr>
          <w:p>
            <w:r>
              <w:t>Valid living tradition; exact historical year remains separate.</w:t>
            </w:r>
          </w:p>
        </w:tc>
      </w:tr>
      <w:tr>
        <w:trPr>
          <w:cantSplit/>
        </w:trPr>
        <w:tc>
          <w:tcPr>
            <w:tcW w:type="dxa" w:w="2513"/>
            <w:tcMar>
              <w:top w:w="55" w:type="dxa"/>
              <w:start w:w="60" w:type="dxa"/>
              <w:bottom w:w="55" w:type="dxa"/>
              <w:end w:w="60" w:type="dxa"/>
            </w:tcMar>
          </w:tcPr>
          <w:p>
            <w:r>
              <w:t>tavaivāsmi ... naya māṁ caraṇāntike</w:t>
            </w:r>
          </w:p>
        </w:tc>
        <w:tc>
          <w:tcPr>
            <w:tcW w:type="dxa" w:w="2513"/>
            <w:tcMar>
              <w:top w:w="55" w:type="dxa"/>
              <w:start w:w="60" w:type="dxa"/>
              <w:bottom w:w="55" w:type="dxa"/>
              <w:end w:w="60" w:type="dxa"/>
            </w:tcMar>
          </w:tcPr>
          <w:p>
            <w:r>
              <w:t>Vilāpa-kusumāñjali 96</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Excellent final pilgrim-facing prayer in Raghunātha’s own voice.</w:t>
            </w:r>
          </w:p>
        </w:tc>
      </w:tr>
      <w:tr>
        <w:trPr>
          <w:cantSplit/>
        </w:trPr>
        <w:tc>
          <w:tcPr>
            <w:tcW w:type="dxa" w:w="2513"/>
            <w:tcMar>
              <w:top w:w="55" w:type="dxa"/>
              <w:start w:w="60" w:type="dxa"/>
              <w:bottom w:w="55" w:type="dxa"/>
              <w:end w:w="60" w:type="dxa"/>
            </w:tcMar>
          </w:tcPr>
          <w:p>
            <w:r>
              <w:t>atraiva mama saṁvāsa / ihaiva mama saṁsthitiḥ</w:t>
            </w:r>
          </w:p>
        </w:tc>
        <w:tc>
          <w:tcPr>
            <w:tcW w:type="dxa" w:w="2513"/>
            <w:tcMar>
              <w:top w:w="55" w:type="dxa"/>
              <w:start w:w="60" w:type="dxa"/>
              <w:bottom w:w="55" w:type="dxa"/>
              <w:end w:w="60" w:type="dxa"/>
            </w:tcMar>
          </w:tcPr>
          <w:p>
            <w:r>
              <w:t>Vilāpa-kusumāñjali 97</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Self-authored residence prayer; final synthesis with samādhi tradition.</w:t>
            </w:r>
          </w:p>
        </w:tc>
      </w:tr>
    </w:tbl>
    <w:p/>
    <w:p>
      <w:pPr>
        <w:pStyle w:val="Heading2"/>
        <w:spacing w:after="80"/>
      </w:pPr>
      <w:r>
        <w:rPr>
          <w:b w:val="0"/>
          <w:i w:val="0"/>
        </w:rPr>
        <w:t>2. Final chapter scope controls</w:t>
      </w:r>
    </w:p>
    <w:p>
      <w:pPr>
        <w:spacing w:after="80"/>
        <w:ind w:left="259" w:hanging="173"/>
      </w:pPr>
      <w:r>
        <w:rPr>
          <w:b/>
        </w:rPr>
        <w:t xml:space="preserve">• </w:t>
      </w:r>
      <w:r>
        <w:t>Do not restate the full childhood, Purī or Rādhā-kuṇḍa narrative; use only short memory anchors.</w:t>
      </w:r>
    </w:p>
    <w:p>
      <w:pPr>
        <w:spacing w:after="80"/>
        <w:ind w:left="259" w:hanging="173"/>
      </w:pPr>
      <w:r>
        <w:rPr>
          <w:b/>
        </w:rPr>
        <w:t xml:space="preserve">• </w:t>
      </w:r>
      <w:r>
        <w:t>Do not state a Gregorian disappearance year as certain.</w:t>
      </w:r>
    </w:p>
    <w:p>
      <w:pPr>
        <w:spacing w:after="80"/>
        <w:ind w:left="259" w:hanging="173"/>
      </w:pPr>
      <w:r>
        <w:rPr>
          <w:b/>
        </w:rPr>
        <w:t xml:space="preserve">• </w:t>
      </w:r>
      <w:r>
        <w:t>Do not describe an unverified miraculous or eyewitness final-moment scene as history.</w:t>
      </w:r>
    </w:p>
    <w:p>
      <w:pPr>
        <w:spacing w:after="80"/>
        <w:ind w:left="259" w:hanging="173"/>
      </w:pPr>
      <w:r>
        <w:rPr>
          <w:b/>
        </w:rPr>
        <w:t xml:space="preserve">• </w:t>
      </w:r>
      <w:r>
        <w:t>Do not claim the present marble samādhi structure is the unchanged original memorial.</w:t>
      </w:r>
    </w:p>
    <w:p>
      <w:pPr>
        <w:spacing w:after="80"/>
        <w:ind w:left="259" w:hanging="173"/>
      </w:pPr>
      <w:r>
        <w:rPr>
          <w:b/>
        </w:rPr>
        <w:t xml:space="preserve">• </w:t>
      </w:r>
      <w:r>
        <w:t>Do not turn the chapter into a general Rādhā-kuṇḍa pilgrimage guide; the separate Rādhā-kuṇḍa Story and practical guide already carry that material.</w:t>
      </w:r>
    </w:p>
    <w:p>
      <w:pPr>
        <w:spacing w:after="80"/>
        <w:ind w:left="259" w:hanging="173"/>
      </w:pPr>
      <w:r>
        <w:rPr>
          <w:b/>
        </w:rPr>
        <w:t xml:space="preserve">• </w:t>
      </w:r>
      <w:r>
        <w:t>Keep the ending centered on Raghunātha’s relationships and own prayers rather than on austerity.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RDGB-18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RDGB-18 — At His Samādhi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