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</w:rPr>
        <w:t>GOVARDHANA PILGRIMAGE</w:t>
      </w:r>
    </w:p>
    <w:p>
      <w:pPr>
        <w:spacing w:after="20"/>
      </w:pPr>
      <w:r>
        <w:rPr>
          <w:b w:val="0"/>
          <w:i w:val="0"/>
        </w:rPr>
        <w:t>Raghunātha dāsa Gosvāmī — Research Appendix</w:t>
      </w:r>
    </w:p>
    <w:p>
      <w:pPr>
        <w:spacing w:after="60"/>
      </w:pPr>
      <w:r>
        <w:rPr>
          <w:b/>
          <w:i w:val="0"/>
        </w:rPr>
        <w:t>RDGB-A02</w:t>
      </w:r>
    </w:p>
    <w:p>
      <w:pPr>
        <w:pStyle w:val="Title"/>
        <w:spacing w:after="20"/>
      </w:pPr>
      <w:r>
        <w:rPr>
          <w:b w:val="0"/>
          <w:i w:val="0"/>
        </w:rPr>
        <w:t>Chronology and Source Matrix</w:t>
      </w:r>
    </w:p>
    <w:p>
      <w:pPr>
        <w:pStyle w:val="Subtitle"/>
        <w:spacing w:after="160"/>
      </w:pPr>
      <w:r>
        <w:rPr>
          <w:b w:val="0"/>
          <w:i w:val="0"/>
        </w:rPr>
        <w:t>What is secure, approximate, traditional, and still unresolved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96"/>
      </w:tblGrid>
      <w:tr>
        <w:trPr>
          <w:cantSplit/>
        </w:trPr>
        <w:tc>
          <w:tcPr>
            <w:tcW w:type="dxa" w:w="5026"/>
            <w:shd w:fill="E9D8D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</w:rPr>
              <w:t>FINAL USE</w:t>
            </w:r>
          </w:p>
        </w:tc>
        <w:tc>
          <w:tcPr>
            <w:tcW w:type="dxa" w:w="502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t>Final v1.0 research/pilgrim appendix. Content is frozen for the Raghunātha dāsa Gosvāmī project. Scholarly controls and explicitly non-blocking open questions are retained for transparency.</w:t>
            </w:r>
          </w:p>
        </w:tc>
      </w:tr>
    </w:tbl>
    <w:p/>
    <w:p>
      <w:pPr>
        <w:pStyle w:val="Heading1"/>
        <w:spacing w:after="100"/>
      </w:pPr>
      <w:r>
        <w:rPr>
          <w:b w:val="0"/>
          <w:i w:val="0"/>
        </w:rPr>
        <w:t>How to read the matrix</w:t>
      </w:r>
    </w:p>
    <w:p>
      <w:pPr>
        <w:spacing w:after="100"/>
      </w:pPr>
      <w:r>
        <w:rPr>
          <w:b w:val="0"/>
          <w:i w:val="0"/>
        </w:rPr>
        <w:t>Raghunātha’s life is much more secure as a sequence than as a modern year-by-year chronology.</w:t>
      </w:r>
    </w:p>
    <w:p>
      <w:pPr>
        <w:spacing w:after="100"/>
      </w:pPr>
      <w:r>
        <w:rPr>
          <w:b w:val="0"/>
          <w:i w:val="0"/>
        </w:rPr>
        <w:t>The strongest sources tell us who he met, what happened before or after what, and in one important case how long a period lasted. They do not always supply calendrical dates. Later Vaiṣṇava chronicles, local calendars and modern biographies often fill those gaps, sometimes differently.</w:t>
      </w:r>
    </w:p>
    <w:p>
      <w:pPr>
        <w:spacing w:after="100"/>
      </w:pPr>
      <w:r>
        <w:rPr>
          <w:b w:val="0"/>
          <w:i w:val="0"/>
        </w:rPr>
        <w:t>For that reason this appendix separates evidence layer from chronological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  <w:tblHeader w:val="true"/>
          <w:cantSplit/>
        </w:trPr>
        <w:tc>
          <w:tcPr>
            <w:tcW w:type="dxa" w:w="3351"/>
            <w:shd w:fill="E9D8DD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Chronological use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A1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Raghunātha’s own surviving writings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Excellent for self-understanding, relationships and devotional geography; rarely supplies ordinary calendar dates.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Near-contemporary Caitanya-caritāmṛta biographical testimony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Controlling narrative sequence; explicit durations are high-value.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A3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Other early identity/near-generation testimony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Useful where directly relevant; assess genre and wording carefully.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B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Bhakti-ratnākara and early Vraja devotional historiography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Strong for early reception, sequence, community memory and local tradition; later than the events.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C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Later/local lineage and pilgrimage tradition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Preserve as tradition; do not silently convert to historical certainty.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D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Documentary evidence: deeds, wills, Persian/Sanskrit records, inscriptions, archival scholarship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Strongest for fixed legal dates and late-life horizons, while copy/transaction relationships still require criticism.</w:t>
            </w:r>
          </w:p>
        </w:tc>
      </w:tr>
    </w:tbl>
    <w:p/>
    <w:p>
      <w:pPr>
        <w:pStyle w:val="Heading1"/>
        <w:spacing w:after="100"/>
      </w:pPr>
      <w:r>
        <w:rPr>
          <w:b w:val="0"/>
          <w:i w:val="0"/>
        </w:rPr>
        <w:t>Master chronology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rPr>
          <w:cantSplit/>
          <w:tblHeader w:val="true"/>
          <w:cantSplit/>
        </w:trPr>
        <w:tc>
          <w:tcPr>
            <w:tcW w:type="dxa" w:w="2010"/>
            <w:shd w:fill="E9D8DD"/>
          </w:tcPr>
          <w:p>
            <w:r>
              <w:rPr>
                <w:b/>
              </w:rPr>
              <w:t>Life event</w:t>
            </w:r>
          </w:p>
        </w:tc>
        <w:tc>
          <w:tcPr>
            <w:tcW w:type="dxa" w:w="2010"/>
            <w:shd w:fill="E9D8DD"/>
          </w:tcPr>
          <w:p>
            <w:r>
              <w:rPr>
                <w:b/>
              </w:rPr>
              <w:t>Date / duration</w:t>
            </w:r>
          </w:p>
        </w:tc>
        <w:tc>
          <w:tcPr>
            <w:tcW w:type="dxa" w:w="2010"/>
            <w:shd w:fill="E9D8DD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10"/>
            <w:shd w:fill="E9D8DD"/>
          </w:tcPr>
          <w:p>
            <w:r>
              <w:rPr>
                <w:b/>
              </w:rPr>
              <w:t>Source layer</w:t>
            </w:r>
          </w:p>
        </w:tc>
        <w:tc>
          <w:tcPr>
            <w:tcW w:type="dxa" w:w="2010"/>
            <w:shd w:fill="E9D8DD"/>
          </w:tcPr>
          <w:p>
            <w:r>
              <w:rPr>
                <w:b/>
              </w:rPr>
              <w:t>Control note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Birth / family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c. 1494–1495 sometimes proposed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LOW / APPROX.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Later biographical reconstruction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No primary or near-contemporary birth year has been recovered. Use only as a cautious estimate, never as an exact fact.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Appearance tithi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Māgha śukla pañcamī / Vasanta-pañcamī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STRONG LIVING TRADITION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 / living Gauḍīya calendar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Important liturgically; an early sixteenth-century witness fixing the tithi is still wanted.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Childhood in Saptagrāma region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Before his adult attempts to join Mahāprabhu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Born into the very wealthy Majumdar family; exact childhood years are not fixed.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Association with Haridāsa Ṭhākura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Youth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Important pre-renunciation formation; do not invent exact age.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First sustained approach to Mahāprabhu at Śāntipura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Before Pānihāṭi and final escape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Mahāprabhu tells him not to become a 'monkey renunciant' and to return home outwardly composed.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Business / arrest / diplomacy period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After Śāntipura, before Pānihāṭi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Shows prolonged delay rather than immediate escape; no need to force a Gregorian year.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Pānihāṭi with Nityānanda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Immediately before the final escape phase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Nityānanda's 'punishment' and Vaiṣṇava feeding become the devotional threshold to freedom.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Final escape from home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After Pānihāṭi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SECURE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Yadunandana episode; Raghunātha leaves the guarded route and travels toward Purī.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Journey to Purī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12 days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Explicit duration in Caitanya-caritāmṛta; avoid reconstructing a detailed route not supplied by the text.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Entrusted to Svarūpa Dāmodara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On arrival in Purī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A2 + A1 memory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Mahāprabhu gives Raghunātha into Svarūpa's care; this is the defining Purī relationship.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Purī confidential service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16 years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HIGH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Ādi 10.93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Explicit duration. Gregorian start/end depend on the wider chronology of Mahāprabhu's final years and should not be reverse-engineered casually.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Govardhana-śilā and guñjā-mālā received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During Purī years, after mature renunciation develops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Antya 6.287–308 + A1 Gaurāṅga-stava-kalpavṛkṣa 11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Mahāprabhu had kept the objects three years before giving them to Raghunātha.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Rejected Jagannātha rice episode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After śilā/guñjā gift in CC narrative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Antya 6.309–325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Important source-order control; do not place before the śilā gift.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Mahāprabhu no longer visibly present; Svarūpa disappears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End of Purī phase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 SEQUENCE / DATE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Ādi 10.93–95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Root Bengali explicitly names Svarūpa's disappearance as the immediate marker before Raghunātha comes to Vṛndāvana; exact intervals remain open.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Journey to Vraja intending to die at Govardhana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Immediately after Purī phase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HIGH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Ādi 10.94–95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He intends first to see Rūpa and Sanātana, then give up the body at Govardhana.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Rūpa and Sanātana prevent his death; accept him as third brother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On arrival in Vraja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HIGH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CC Ādi 10.96–97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Key relational turning point; they continually hear Mahāprabhu's inner/outer līlās from him.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Rādhā-kuṇḍa becomes his chosen abode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After Vraja rescue; exact first settlement year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HIGH FOR RESIDENCE / DATE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A1 prayers + A2 mature practice portrait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Rādhā-kuṇḍāṣṭaka, Govardhana prayers and Vilāpa-kusumāñjali 97 establish chosen devotional geography; not a civil settlement date.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Restoration/desilting of the twin kuṇḍas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During mature Rādhā-kuṇḍa residence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B-LEVEL EVENT / DATE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Bhakti-ratnākara 5.532–553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Substantial restoration under his direction; donor anonymous; exact year not secured.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Sanātana urges him to accept a kuṭīra after tiger episode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During Rādhā-kuṇḍa residence, while Sanātana is still living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B-LEVEL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Bhakti-ratnākara 5.554–561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Provides relative chronology but not a secure Gregorian date.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Rūpa and Sanātana disappear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Before the later elder phase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B-LEVEL SEQUENCE; dates disputed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Bhakti-ratnākara and later calendars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Early tradition places Sanātana's disappearance before Rūpa's; commonly repeated 1564 dates remain tradition-dependent and should not control the biography without further source work.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Śrīnivāsa / Narottama / later generation encounter him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Late Rādhā-kuṇḍa years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B-LEVEL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Bhakti-ratnākara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Shows Raghunātha as aged elder; preserve distinct Śrīnivāsa visits.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Jāhnavā visits Rādhā-kuṇḍa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late life; Raghunātha too weak to travel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B-LEVEL SEQUENCE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Bhakti-ratnākara 11.150–189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Exact Gregorian dating remains unverified in the project.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Death-bed settlement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1584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HIGH FIXED HORIZON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 — Sanskrit settlement published by Mukherjee &amp; Wright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Blind Raghunātha, devoted to Rādhā-kuṇḍa service, dictates a settlement 'at the end of life/on my death bed.' Strongest fixed late-life date.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Six-plot hiba / gift record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2 June 1588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VERY HIGH DOCUMENT DATE; INTERPRETATION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 — Persian/legal documentary record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Later transfer in Raghunātha's name to Jīva. Relationship to 1584 settlement unresolved; do not automatically infer personal survival to this date.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Disappearance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Exact Gregorian year unresolved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 traditions + D tension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Do not state 1586, 1588 or another year as historically certain until documentary and tradition layers are reconciled.</w:t>
            </w:r>
          </w:p>
        </w:tc>
      </w:tr>
      <w:tr>
        <w:trPr>
          <w:cantSplit/>
          <w:cantSplit/>
        </w:trPr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Samādhi at Rādhā-kuṇḍa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Living sacred-memory endpoint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STRONG TRADITION / ARCHITECTURAL DATE OPEN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2010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Samādhi tradition is central to pilgrimage; present visible structure is later and should not be called unchanged sixteenth-century architecture.</w:t>
            </w:r>
          </w:p>
        </w:tc>
      </w:tr>
    </w:tbl>
    <w:p/>
    <w:p>
      <w:pPr>
        <w:pStyle w:val="Heading1"/>
        <w:spacing w:after="100"/>
      </w:pPr>
      <w:r>
        <w:rPr>
          <w:b w:val="0"/>
          <w:i w:val="0"/>
        </w:rPr>
        <w:t>Dates that should not be printed as settled facts</w:t>
      </w:r>
    </w:p>
    <w:p>
      <w:pPr>
        <w:spacing w:after="100"/>
      </w:pPr>
      <w:r>
        <w:rPr>
          <w:b w:val="0"/>
          <w:i w:val="0"/>
        </w:rPr>
        <w:t>Several dates circulate widely in modern Vaiṣṇava books and websites. Some may ultimately prove correct, but this biography should not present them with the same confidence as explicit Caitanya-caritāmṛta durations or documentary records.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1494 or 1495 as an exact birth year — useful only as a cautious estimate.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A fixed Gregorian year for Pānihāṭi or the final escape — narrative sequence is stronger than the year conversion currently available.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A precise Gregorian year for arrival in Purī derived solely by subtracting sixteen years from a preferred date for Mahāprabhu's disappearance.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1533 as an exact arrival-at-Rādhā-kuṇḍa year — later tradition gives such reconstructions, but the primary/near-primary record does not currently fix the first settlement year.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1564 as unquestionably the disappearance year of both Sanātana and Rūpa — preserve as a received chronology pending stronger source control.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1586 as the certain disappearance year of Raghunātha — important tradition, but the 1584 and 1588 documentary evidence prevents presenting it as settled history.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1588 as proof that Raghunātha was personally alive on 2 June — the legal relationship between instruments still needs resolution.</w:t>
      </w:r>
    </w:p>
    <w:p>
      <w:pPr>
        <w:pStyle w:val="Heading1"/>
        <w:spacing w:after="100"/>
      </w:pPr>
      <w:r>
        <w:rPr>
          <w:b w:val="0"/>
          <w:i w:val="0"/>
        </w:rPr>
        <w:t>High-confidence anchors for the finished biography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  <w:tblHeader w:val="true"/>
          <w:cantSplit/>
        </w:trPr>
        <w:tc>
          <w:tcPr>
            <w:tcW w:type="dxa" w:w="3351"/>
            <w:shd w:fill="E9D8DD"/>
          </w:tcPr>
          <w:p>
            <w:r>
              <w:rPr>
                <w:b/>
              </w:rPr>
              <w:t>Anchor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Why it matters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Twelve-day journey to Purī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Explicit duration.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Sixteen years of confidential service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Explicit CC duration; one of the strongest chronological anchors.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Mahāprabhu → Svarūpa → Raghunātha relationship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 + A1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Secure biographical and self-authored memory.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Govardhana-śilā + guñjā-mālā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 + A1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Secure object/relationship event and later self-memory.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Vraja journey with death-intention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Explicit.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Rūpa/Sanātana refuse death and make him third brother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Explicit.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Rādhā-kuṇḍa as chosen residence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A1 + A2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Devotional geography secure even though first settlement year is not.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1584 death-bed settlement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D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Best fixed late-life historical horizon.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1588 hiba record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D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Best later documentary datum, but interpretive relation to 1584 remains open.</w:t>
            </w:r>
          </w:p>
        </w:tc>
      </w:tr>
    </w:tbl>
    <w:p/>
    <w:p>
      <w:pPr>
        <w:pStyle w:val="Heading1"/>
        <w:spacing w:after="100"/>
      </w:pPr>
      <w:r>
        <w:rPr>
          <w:b w:val="0"/>
          <w:i w:val="0"/>
        </w:rPr>
        <w:t>Open chronology questions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Recover the oldest securely datable witness for Māgha śukla pañcamī as Raghunātha's appearance tithi.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Identify the textual basis behind the commonly repeated c.1494/1495 birth estimate.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Build a controlled Caitanya chronology crosswalk before assigning Gregorian years to Śāntipura, Pānihāṭi, escape and Purī arrival.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Verify the oldest witnesses for the disappearance dates of Sanātana and Rūpa instead of relying on later calendar harmonization.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Collate the two reported copies of Raghunātha's 1584 Sanskrit settlement, including the exact wording of anta-samaya / death-bed language.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Examine the original/copy relationship of the 1588 hiba and determine whether it represents a fresh personal act, registration of an earlier transfer, retrospective legal confirmation, or another documentary mechanism.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Recover and classify the source behind the widely repeated 1586 disappearance date.</w:t>
      </w:r>
    </w:p>
    <w:p>
      <w:pPr>
        <w:spacing w:after="80"/>
        <w:ind w:left="259" w:hanging="173"/>
      </w:pPr>
      <w:r>
        <w:rPr>
          <w:b/>
        </w:rPr>
        <w:t xml:space="preserve">• </w:t>
      </w:r>
      <w:r>
        <w:t>Separate the antiquity of the samādhi tradition from the construction history of the present samādhi-mandira.</w:t>
      </w:r>
    </w:p>
    <w:p>
      <w:pPr>
        <w:pStyle w:val="Heading1"/>
        <w:spacing w:after="100"/>
      </w:pPr>
      <w:r>
        <w:rPr>
          <w:b w:val="0"/>
          <w:i w:val="0"/>
        </w:rPr>
        <w:t>Narrative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  <w:tblHeader w:val="true"/>
          <w:cantSplit/>
        </w:trPr>
        <w:tc>
          <w:tcPr>
            <w:tcW w:type="dxa" w:w="3351"/>
            <w:shd w:fill="E9D8DD"/>
          </w:tcPr>
          <w:p>
            <w:r>
              <w:rPr>
                <w:b/>
              </w:rPr>
              <w:t>Biography unit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3351"/>
            <w:shd w:fill="E9D8DD"/>
          </w:tcPr>
          <w:p>
            <w:r>
              <w:rPr>
                <w:b/>
              </w:rPr>
              <w:t>Chronology rule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RDGB-01–03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Childhood, Haridāsa, Śāntipura, household restraint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Sequence secure; Gregorian dating intentionally light.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RDGB-04–05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Pānihāṭi and escape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Sequence and 12-day journey secure; exact civil year not forced.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RDGB-06–10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Purī and Svarūpa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Sixteen-year duration is the controlling anchor.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RDGB-11–12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Loss, Vraja journey, Rūpa/Sanātana rescue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Very strong A2 sequence.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RDGB-13–16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Rādhā-kuṇḍa residence, service, writings, elder phase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Residence secure; exact first-settlement/restoration dates open.</w:t>
            </w:r>
          </w:p>
        </w:tc>
      </w:tr>
      <w:tr>
        <w:trPr>
          <w:cantSplit/>
          <w:cantSplit/>
        </w:trPr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RDGB-17–18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Last years, samādhi</w:t>
            </w:r>
          </w:p>
        </w:tc>
        <w:tc>
          <w:tcPr>
            <w:tcW w:type="dxa" w:w="3351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1584/1588 documentary tension controls date language.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>​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RDGB-A02 • Final v1.0 • 3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GOVARDHANA PILGRIMAGE  •  RAGHUNĀTHA DĀSA GOSVĀMĪ BIOGRAPHY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B26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7B26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color w:val="7B26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RDGB-A02 — Chronology and Source Matrix — Final v1.0</dc:title>
  <dc:subject>Govardhana Pilgrimage - Raghunatha Dasa Gosvami</dc:subject>
  <dc:creator>Govardhana Pilgrimage Project</dc:creator>
  <cp:keywords>Raghunatha Dasa Gosvami; Radha-kunda; Govardhana; Gaudiya Vaisnavism</cp:keywords>
  <dc:description>Final v1.0 - source-critical scholarly-devotional edition</dc:description>
  <cp:lastModifiedBy>Govardhana Pilgrimage Project</cp:lastModifiedBy>
  <cp:revision>1</cp:revision>
  <dcterms:created xsi:type="dcterms:W3CDTF">2013-12-23T23:15:00Z</dcterms:created>
  <dcterms:modified xsi:type="dcterms:W3CDTF">2013-12-23T23:15:00Z</dcterms:modified>
  <cp:category/>
</cp:coreProperties>
</file>