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Research Appendix</w:t>
      </w:r>
    </w:p>
    <w:p>
      <w:pPr>
        <w:spacing w:after="60"/>
      </w:pPr>
      <w:r>
        <w:rPr>
          <w:b/>
          <w:i w:val="0"/>
        </w:rPr>
        <w:t>RDGB-A03</w:t>
      </w:r>
    </w:p>
    <w:p>
      <w:pPr>
        <w:pStyle w:val="Title"/>
        <w:spacing w:after="20"/>
      </w:pPr>
      <w:r>
        <w:rPr>
          <w:b w:val="0"/>
          <w:i w:val="0"/>
        </w:rPr>
        <w:t>Works of Raghunātha dāsa Gosvāmī</w:t>
      </w:r>
    </w:p>
    <w:p>
      <w:pPr>
        <w:pStyle w:val="Subtitle"/>
        <w:spacing w:after="160"/>
      </w:pPr>
      <w:r>
        <w:rPr>
          <w:b w:val="0"/>
          <w:i w:val="0"/>
        </w:rPr>
        <w:t>Annotated bibliography and title/provenance controls</w:t>
      </w:r>
    </w:p>
    <w:tbl>
      <w:tblPr>
        <w:tblW w:type="auto" w:w="0"/>
        <w:jc w:val="center"/>
        <w:tblLayout w:type="fixed"/>
        <w:tblLook w:firstColumn="1" w:firstRow="1" w:lastColumn="0" w:lastRow="0" w:noHBand="0" w:noVBand="1" w:val="04A0"/>
      </w:tblPr>
      <w:tblGrid>
        <w:gridCol w:w="1656"/>
        <w:gridCol w:w="8496"/>
      </w:tblGrid>
      <w:tr>
        <w:trPr>
          <w:cantSplit/>
          <w:tblHeader w:val="true"/>
        </w:trPr>
        <w:tc>
          <w:tcPr>
            <w:tcW w:type="dxa" w:w="5026"/>
            <w:shd w:fill="E9D8DD"/>
            <w:tcMar>
              <w:top w:w="55" w:type="dxa"/>
              <w:start w:w="50" w:type="dxa"/>
              <w:bottom w:w="55" w:type="dxa"/>
              <w:end w:w="50" w:type="dxa"/>
            </w:tcMar>
            <w:vAlign w:val="center"/>
          </w:tcPr>
          <w:p>
            <w:r>
              <w:rPr>
                <w:b/>
              </w:rPr>
              <w:t>FINAL USE</w:t>
            </w:r>
          </w:p>
        </w:tc>
        <w:tc>
          <w:tcPr>
            <w:tcW w:type="dxa" w:w="5026"/>
            <w:tcMar>
              <w:top w:w="55" w:type="dxa"/>
              <w:start w:w="50" w:type="dxa"/>
              <w:bottom w:w="55" w:type="dxa"/>
              <w:end w:w="50" w:type="dxa"/>
            </w:tcMar>
            <w:vAlign w:val="center"/>
          </w:tcPr>
          <w:p>
            <w:r>
              <w:t>Final v1.0 research/pilgrim appendix. Content is frozen for the Raghunātha dāsa Gosvāmī project. Scholarly controls and explicitly non-blocking open questions are retained for transparency.</w:t>
            </w:r>
          </w:p>
        </w:tc>
      </w:tr>
    </w:tbl>
    <w:p/>
    <w:p>
      <w:pPr>
        <w:pStyle w:val="Heading1"/>
        <w:spacing w:after="100"/>
      </w:pPr>
      <w:r>
        <w:rPr>
          <w:b w:val="0"/>
          <w:i w:val="0"/>
        </w:rPr>
        <w:t>1. The corpus in the early reception record</w:t>
      </w:r>
    </w:p>
    <w:p>
      <w:pPr>
        <w:spacing w:after="100"/>
      </w:pPr>
      <w:r>
        <w:rPr>
          <w:b w:val="0"/>
          <w:i w:val="0"/>
        </w:rPr>
        <w:t>The cleanest early literary inventory presently available in the project is Narahari Cakravartī’s Bhakti-ratnākara. In its catalogue of Gosvāmī writings, it remembers three principal literary units associated with Raghunātha dāsa:</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Early inventory</w:t>
            </w:r>
          </w:p>
        </w:tc>
        <w:tc>
          <w:tcPr>
            <w:tcW w:type="dxa" w:w="2513"/>
            <w:shd w:fill="E9D8DD"/>
          </w:tcPr>
          <w:p>
            <w:r>
              <w:rPr>
                <w:b/>
              </w:rPr>
              <w:t>Preferred citation</w:t>
            </w:r>
          </w:p>
        </w:tc>
        <w:tc>
          <w:tcPr>
            <w:tcW w:type="dxa" w:w="2513"/>
            <w:shd w:fill="E9D8DD"/>
          </w:tcPr>
          <w:p>
            <w:r>
              <w:rPr>
                <w:b/>
              </w:rPr>
              <w:t>Type</w:t>
            </w:r>
          </w:p>
        </w:tc>
        <w:tc>
          <w:tcPr>
            <w:tcW w:type="dxa" w:w="2513"/>
            <w:shd w:fill="E9D8DD"/>
          </w:tcPr>
          <w:p>
            <w:r>
              <w:rPr>
                <w:b/>
              </w:rPr>
              <w:t>Control</w:t>
            </w:r>
          </w:p>
        </w:tc>
      </w:tr>
      <w:tr>
        <w:trPr>
          <w:cantSplit/>
        </w:trPr>
        <w:tc>
          <w:tcPr>
            <w:tcW w:type="dxa" w:w="2513"/>
            <w:tcMar>
              <w:top w:w="55" w:type="dxa"/>
              <w:start w:w="50" w:type="dxa"/>
              <w:bottom w:w="55" w:type="dxa"/>
              <w:end w:w="50" w:type="dxa"/>
            </w:tcMar>
          </w:tcPr>
          <w:p>
            <w:r>
              <w:t>stava-mālā / stavāvalī</w:t>
            </w:r>
          </w:p>
        </w:tc>
        <w:tc>
          <w:tcPr>
            <w:tcW w:type="dxa" w:w="2513"/>
            <w:tcMar>
              <w:top w:w="55" w:type="dxa"/>
              <w:start w:w="50" w:type="dxa"/>
              <w:bottom w:w="55" w:type="dxa"/>
              <w:end w:w="50" w:type="dxa"/>
            </w:tcMar>
          </w:tcPr>
          <w:p>
            <w:r>
              <w:t>Stavāvalī</w:t>
            </w:r>
          </w:p>
        </w:tc>
        <w:tc>
          <w:tcPr>
            <w:tcW w:type="dxa" w:w="2513"/>
            <w:tcMar>
              <w:top w:w="55" w:type="dxa"/>
              <w:start w:w="50" w:type="dxa"/>
              <w:bottom w:w="55" w:type="dxa"/>
              <w:end w:w="50" w:type="dxa"/>
            </w:tcMar>
          </w:tcPr>
          <w:p>
            <w:r>
              <w:t>Collection of stotras and prayers</w:t>
            </w:r>
          </w:p>
        </w:tc>
        <w:tc>
          <w:tcPr>
            <w:tcW w:type="dxa" w:w="2513"/>
            <w:tcMar>
              <w:top w:w="55" w:type="dxa"/>
              <w:start w:w="50" w:type="dxa"/>
              <w:bottom w:w="55" w:type="dxa"/>
              <w:end w:w="50" w:type="dxa"/>
            </w:tcMar>
          </w:tcPr>
          <w:p>
            <w:r>
              <w:t>Bhakti-ratnākara explicitly says the stava-mālā is known as Stavāvalī. Do not confuse it with Rūpa Gosvāmī’s separate Stava-mālā.</w:t>
            </w:r>
          </w:p>
        </w:tc>
      </w:tr>
      <w:tr>
        <w:trPr>
          <w:cantSplit/>
        </w:trPr>
        <w:tc>
          <w:tcPr>
            <w:tcW w:type="dxa" w:w="2513"/>
            <w:tcMar>
              <w:top w:w="55" w:type="dxa"/>
              <w:start w:w="50" w:type="dxa"/>
              <w:bottom w:w="55" w:type="dxa"/>
              <w:end w:w="50" w:type="dxa"/>
            </w:tcMar>
          </w:tcPr>
          <w:p>
            <w:r>
              <w:t>dāna-carita</w:t>
            </w:r>
          </w:p>
        </w:tc>
        <w:tc>
          <w:tcPr>
            <w:tcW w:type="dxa" w:w="2513"/>
            <w:tcMar>
              <w:top w:w="55" w:type="dxa"/>
              <w:start w:w="50" w:type="dxa"/>
              <w:bottom w:w="55" w:type="dxa"/>
              <w:end w:w="50" w:type="dxa"/>
            </w:tcMar>
          </w:tcPr>
          <w:p>
            <w:r>
              <w:t>Dāna-keli-cintāmaṇi</w:t>
            </w:r>
          </w:p>
        </w:tc>
        <w:tc>
          <w:tcPr>
            <w:tcW w:type="dxa" w:w="2513"/>
            <w:tcMar>
              <w:top w:w="55" w:type="dxa"/>
              <w:start w:w="50" w:type="dxa"/>
              <w:bottom w:w="55" w:type="dxa"/>
              <w:end w:w="50" w:type="dxa"/>
            </w:tcMar>
          </w:tcPr>
          <w:p>
            <w:r>
              <w:t>Līlā-kāvya on the toll pastime</w:t>
            </w:r>
          </w:p>
        </w:tc>
        <w:tc>
          <w:tcPr>
            <w:tcW w:type="dxa" w:w="2513"/>
            <w:tcMar>
              <w:top w:w="55" w:type="dxa"/>
              <w:start w:w="50" w:type="dxa"/>
              <w:bottom w:w="55" w:type="dxa"/>
              <w:end w:w="50" w:type="dxa"/>
            </w:tcMar>
          </w:tcPr>
          <w:p>
            <w:r>
              <w:t>The early inventory uses a shorter/generic dāna-carita designation; the received independent work is published and catalogued as Dāna-keli-cintāmaṇi.</w:t>
            </w:r>
          </w:p>
        </w:tc>
      </w:tr>
      <w:tr>
        <w:trPr>
          <w:cantSplit/>
        </w:trPr>
        <w:tc>
          <w:tcPr>
            <w:tcW w:type="dxa" w:w="2513"/>
            <w:tcMar>
              <w:top w:w="55" w:type="dxa"/>
              <w:start w:w="50" w:type="dxa"/>
              <w:bottom w:w="55" w:type="dxa"/>
              <w:end w:w="50" w:type="dxa"/>
            </w:tcMar>
          </w:tcPr>
          <w:p>
            <w:r>
              <w:t>muktā-carita</w:t>
            </w:r>
          </w:p>
        </w:tc>
        <w:tc>
          <w:tcPr>
            <w:tcW w:type="dxa" w:w="2513"/>
            <w:tcMar>
              <w:top w:w="55" w:type="dxa"/>
              <w:start w:w="50" w:type="dxa"/>
              <w:bottom w:w="55" w:type="dxa"/>
              <w:end w:w="50" w:type="dxa"/>
            </w:tcMar>
          </w:tcPr>
          <w:p>
            <w:r>
              <w:t>Muktā-carita</w:t>
            </w:r>
          </w:p>
        </w:tc>
        <w:tc>
          <w:tcPr>
            <w:tcW w:type="dxa" w:w="2513"/>
            <w:tcMar>
              <w:top w:w="55" w:type="dxa"/>
              <w:start w:w="50" w:type="dxa"/>
              <w:bottom w:w="55" w:type="dxa"/>
              <w:end w:w="50" w:type="dxa"/>
            </w:tcMar>
          </w:tcPr>
          <w:p>
            <w:r>
              <w:t>Līlā-kāvya on the pearl pastime</w:t>
            </w:r>
          </w:p>
        </w:tc>
        <w:tc>
          <w:tcPr>
            <w:tcW w:type="dxa" w:w="2513"/>
            <w:tcMar>
              <w:top w:w="55" w:type="dxa"/>
              <w:start w:w="50" w:type="dxa"/>
              <w:bottom w:w="55" w:type="dxa"/>
              <w:end w:w="50" w:type="dxa"/>
            </w:tcMar>
          </w:tcPr>
          <w:p>
            <w:r>
              <w:t>Title is stable in early reception and modern catalogues.</w:t>
            </w:r>
          </w:p>
        </w:tc>
      </w:tr>
    </w:tbl>
    <w:p>
      <w:pPr>
        <w:spacing w:after="160"/>
      </w:pPr>
      <w:r>
        <w:rPr>
          <w:b w:val="0"/>
          <w:i/>
        </w:rPr>
        <w:t>Textual caution: one electronic Bhakti-ratnākara transcription around verse 831 appears to read “nāma-carita,” but the immediately following Sanskrit summary verse and the prose translation support dāna-carita. Do not create a separate lost Nāma-carita from that isolated electronic reading.</w:t>
      </w:r>
    </w:p>
    <w:p>
      <w:pPr>
        <w:pStyle w:val="Heading1"/>
        <w:spacing w:after="100"/>
      </w:pPr>
      <w:r>
        <w:rPr>
          <w:b w:val="0"/>
          <w:i w:val="0"/>
        </w:rPr>
        <w:t>2. Stavāvalī — the principal collection</w:t>
      </w:r>
    </w:p>
    <w:p>
      <w:pPr>
        <w:spacing w:after="100"/>
      </w:pPr>
      <w:r>
        <w:rPr>
          <w:b w:val="0"/>
          <w:i w:val="0"/>
        </w:rPr>
        <w:t>Stavāvalī is not a single continuous poem. It is a collected corpus of individual hymns, prayers, vows and devotional lyric pieces attributed to Raghunātha dāsa Gosvāmī.</w:t>
      </w:r>
    </w:p>
    <w:p>
      <w:pPr>
        <w:spacing w:after="100"/>
      </w:pPr>
      <w:r>
        <w:rPr>
          <w:b w:val="0"/>
          <w:i w:val="0"/>
        </w:rPr>
        <w:t>The current Gaudiya Grantha Mandira digital edition presents thirty works in the collection. Its editorial note says the online text draws from multiple sources, including an edition by Bhakti Sāraṅga Gosvāmī and Puruṣottama Dāsa published in Vṛndāvana in 1959. The date of original composition of the collection is not supplied.</w:t>
      </w:r>
    </w:p>
    <w:p>
      <w:pPr>
        <w:spacing w:after="100"/>
      </w:pPr>
      <w:r>
        <w:rPr>
          <w:b w:val="0"/>
          <w:i w:val="0"/>
        </w:rPr>
        <w:t>For the biography, the most important point is not whether every constituent hymn circulated independently from the beginning. It is that the received Stavāvalī corpus preserves a coherent first-person devotional world centered on Gaurāṅga, Svarūpa, Rūpa, Sanātana, Govardhana, Rādhā-kuṇḍa, Rādhā’s associates and Rādhā-dāsya.</w:t>
      </w:r>
    </w:p>
    <w:p>
      <w:pPr>
        <w:pStyle w:val="Heading2"/>
        <w:spacing w:after="80"/>
      </w:pPr>
      <w:r>
        <w:rPr>
          <w:b w:val="0"/>
          <w:i w:val="0"/>
        </w:rPr>
        <w:t>Biographically important works within Stavāvalī</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Work</w:t>
            </w:r>
          </w:p>
        </w:tc>
        <w:tc>
          <w:tcPr>
            <w:tcW w:type="dxa" w:w="2513"/>
            <w:shd w:fill="E9D8DD"/>
          </w:tcPr>
          <w:p>
            <w:r>
              <w:rPr>
                <w:b/>
              </w:rPr>
              <w:t>Genre/form</w:t>
            </w:r>
          </w:p>
        </w:tc>
        <w:tc>
          <w:tcPr>
            <w:tcW w:type="dxa" w:w="2513"/>
            <w:shd w:fill="E9D8DD"/>
          </w:tcPr>
          <w:p>
            <w:r>
              <w:rPr>
                <w:b/>
              </w:rPr>
              <w:t>Primary focus</w:t>
            </w:r>
          </w:p>
        </w:tc>
        <w:tc>
          <w:tcPr>
            <w:tcW w:type="dxa" w:w="2513"/>
            <w:shd w:fill="E9D8DD"/>
          </w:tcPr>
          <w:p>
            <w:r>
              <w:rPr>
                <w:b/>
              </w:rPr>
              <w:t>Biographical use</w:t>
            </w:r>
          </w:p>
        </w:tc>
      </w:tr>
      <w:tr>
        <w:trPr>
          <w:cantSplit/>
        </w:trPr>
        <w:tc>
          <w:tcPr>
            <w:tcW w:type="dxa" w:w="2513"/>
            <w:tcMar>
              <w:top w:w="45" w:type="dxa"/>
              <w:start w:w="45" w:type="dxa"/>
              <w:bottom w:w="45" w:type="dxa"/>
              <w:end w:w="45" w:type="dxa"/>
            </w:tcMar>
          </w:tcPr>
          <w:p>
            <w:r>
              <w:t>Śacī-sūnv-aṣṭakam</w:t>
            </w:r>
          </w:p>
        </w:tc>
        <w:tc>
          <w:tcPr>
            <w:tcW w:type="dxa" w:w="2513"/>
            <w:tcMar>
              <w:top w:w="45" w:type="dxa"/>
              <w:start w:w="45" w:type="dxa"/>
              <w:bottom w:w="45" w:type="dxa"/>
              <w:end w:w="45" w:type="dxa"/>
            </w:tcMar>
          </w:tcPr>
          <w:p>
            <w:r>
              <w:t>Praise of Śrī Caitanya</w:t>
            </w:r>
          </w:p>
        </w:tc>
        <w:tc>
          <w:tcPr>
            <w:tcW w:type="dxa" w:w="2513"/>
            <w:tcMar>
              <w:top w:w="45" w:type="dxa"/>
              <w:start w:w="45" w:type="dxa"/>
              <w:bottom w:w="45" w:type="dxa"/>
              <w:end w:w="45" w:type="dxa"/>
            </w:tcMar>
          </w:tcPr>
          <w:p>
            <w:r>
              <w:t>Gaurāṅga devotion</w:t>
            </w:r>
          </w:p>
        </w:tc>
        <w:tc>
          <w:tcPr>
            <w:tcW w:type="dxa" w:w="2513"/>
            <w:tcMar>
              <w:top w:w="45" w:type="dxa"/>
              <w:start w:w="45" w:type="dxa"/>
              <w:bottom w:w="45" w:type="dxa"/>
              <w:end w:w="45" w:type="dxa"/>
            </w:tcMar>
          </w:tcPr>
          <w:p>
            <w:r>
              <w:t>Useful as part of the Caitanya-centered layer of the collection; less autobiographical than Gaurāṅga-stava-kalpavṛkṣa.</w:t>
            </w:r>
          </w:p>
        </w:tc>
      </w:tr>
      <w:tr>
        <w:trPr>
          <w:cantSplit/>
        </w:trPr>
        <w:tc>
          <w:tcPr>
            <w:tcW w:type="dxa" w:w="2513"/>
            <w:tcMar>
              <w:top w:w="45" w:type="dxa"/>
              <w:start w:w="45" w:type="dxa"/>
              <w:bottom w:w="45" w:type="dxa"/>
              <w:end w:w="45" w:type="dxa"/>
            </w:tcMar>
          </w:tcPr>
          <w:p>
            <w:r>
              <w:t>Gaurāṅga-stava-kalpavṛkṣa</w:t>
            </w:r>
          </w:p>
        </w:tc>
        <w:tc>
          <w:tcPr>
            <w:tcW w:type="dxa" w:w="2513"/>
            <w:tcMar>
              <w:top w:w="45" w:type="dxa"/>
              <w:start w:w="45" w:type="dxa"/>
              <w:bottom w:w="45" w:type="dxa"/>
              <w:end w:w="45" w:type="dxa"/>
            </w:tcMar>
          </w:tcPr>
          <w:p>
            <w:r>
              <w:t>Praise/memory of Gaurāṅga</w:t>
            </w:r>
          </w:p>
        </w:tc>
        <w:tc>
          <w:tcPr>
            <w:tcW w:type="dxa" w:w="2513"/>
            <w:tcMar>
              <w:top w:w="45" w:type="dxa"/>
              <w:start w:w="45" w:type="dxa"/>
              <w:bottom w:w="45" w:type="dxa"/>
              <w:end w:w="45" w:type="dxa"/>
            </w:tcMar>
          </w:tcPr>
          <w:p>
            <w:r>
              <w:t>Mahāprabhu, Svarūpa, Govardhana-śilā, guñjā-mālā</w:t>
            </w:r>
          </w:p>
        </w:tc>
        <w:tc>
          <w:tcPr>
            <w:tcW w:type="dxa" w:w="2513"/>
            <w:tcMar>
              <w:top w:w="45" w:type="dxa"/>
              <w:start w:w="45" w:type="dxa"/>
              <w:bottom w:w="45" w:type="dxa"/>
              <w:end w:w="45" w:type="dxa"/>
            </w:tcMar>
          </w:tcPr>
          <w:p>
            <w:r>
              <w:t>Verse 11 is one of the strongest self-authored biographical memories in the corpus.</w:t>
            </w:r>
          </w:p>
        </w:tc>
      </w:tr>
      <w:tr>
        <w:trPr>
          <w:cantSplit/>
        </w:trPr>
        <w:tc>
          <w:tcPr>
            <w:tcW w:type="dxa" w:w="2513"/>
            <w:tcMar>
              <w:top w:w="45" w:type="dxa"/>
              <w:start w:w="45" w:type="dxa"/>
              <w:bottom w:w="45" w:type="dxa"/>
              <w:end w:w="45" w:type="dxa"/>
            </w:tcMar>
          </w:tcPr>
          <w:p>
            <w:r>
              <w:t>Manaḥ-śikṣā</w:t>
            </w:r>
          </w:p>
        </w:tc>
        <w:tc>
          <w:tcPr>
            <w:tcW w:type="dxa" w:w="2513"/>
            <w:tcMar>
              <w:top w:w="45" w:type="dxa"/>
              <w:start w:w="45" w:type="dxa"/>
              <w:bottom w:w="45" w:type="dxa"/>
              <w:end w:w="45" w:type="dxa"/>
            </w:tcMar>
          </w:tcPr>
          <w:p>
            <w:r>
              <w:t>Twelve-verse instruction to the mind</w:t>
            </w:r>
          </w:p>
        </w:tc>
        <w:tc>
          <w:tcPr>
            <w:tcW w:type="dxa" w:w="2513"/>
            <w:tcMar>
              <w:top w:w="45" w:type="dxa"/>
              <w:start w:w="45" w:type="dxa"/>
              <w:bottom w:w="45" w:type="dxa"/>
              <w:end w:w="45" w:type="dxa"/>
            </w:tcMar>
          </w:tcPr>
          <w:p>
            <w:r>
              <w:t>Humility, guru, nāma, Vraja, Rūpa/Sanātana/Svarūpa, inner practice</w:t>
            </w:r>
          </w:p>
        </w:tc>
        <w:tc>
          <w:tcPr>
            <w:tcW w:type="dxa" w:w="2513"/>
            <w:tcMar>
              <w:top w:w="45" w:type="dxa"/>
              <w:start w:w="45" w:type="dxa"/>
              <w:bottom w:w="45" w:type="dxa"/>
              <w:end w:w="45" w:type="dxa"/>
            </w:tcMar>
          </w:tcPr>
          <w:p>
            <w:r>
              <w:t>Crucial for correcting the idea that his spirituality was simply bodily austerity.</w:t>
            </w:r>
          </w:p>
        </w:tc>
      </w:tr>
      <w:tr>
        <w:trPr>
          <w:cantSplit/>
        </w:trPr>
        <w:tc>
          <w:tcPr>
            <w:tcW w:type="dxa" w:w="2513"/>
            <w:tcMar>
              <w:top w:w="45" w:type="dxa"/>
              <w:start w:w="45" w:type="dxa"/>
              <w:bottom w:w="45" w:type="dxa"/>
              <w:end w:w="45" w:type="dxa"/>
            </w:tcMar>
          </w:tcPr>
          <w:p>
            <w:r>
              <w:t>Raghunātha-dāsa-gosvāminaḥ Prārthanā</w:t>
            </w:r>
          </w:p>
        </w:tc>
        <w:tc>
          <w:tcPr>
            <w:tcW w:type="dxa" w:w="2513"/>
            <w:tcMar>
              <w:top w:w="45" w:type="dxa"/>
              <w:start w:w="45" w:type="dxa"/>
              <w:bottom w:w="45" w:type="dxa"/>
              <w:end w:w="45" w:type="dxa"/>
            </w:tcMar>
          </w:tcPr>
          <w:p>
            <w:r>
              <w:t>Personal prayer</w:t>
            </w:r>
          </w:p>
        </w:tc>
        <w:tc>
          <w:tcPr>
            <w:tcW w:type="dxa" w:w="2513"/>
            <w:tcMar>
              <w:top w:w="45" w:type="dxa"/>
              <w:start w:w="45" w:type="dxa"/>
              <w:bottom w:w="45" w:type="dxa"/>
              <w:end w:w="45" w:type="dxa"/>
            </w:tcMar>
          </w:tcPr>
          <w:p>
            <w:r>
              <w:t>Service-longing and remembrance</w:t>
            </w:r>
          </w:p>
        </w:tc>
        <w:tc>
          <w:tcPr>
            <w:tcW w:type="dxa" w:w="2513"/>
            <w:tcMar>
              <w:top w:w="45" w:type="dxa"/>
              <w:start w:w="45" w:type="dxa"/>
              <w:bottom w:w="45" w:type="dxa"/>
              <w:end w:w="45" w:type="dxa"/>
            </w:tcMar>
          </w:tcPr>
          <w:p>
            <w:r>
              <w:t>Part of the inner devotional voice; title should remain distinct from Prārthanāmṛta and Prārthanāśraya-caturdaśaka.</w:t>
            </w:r>
          </w:p>
        </w:tc>
      </w:tr>
      <w:tr>
        <w:trPr>
          <w:cantSplit/>
        </w:trPr>
        <w:tc>
          <w:tcPr>
            <w:tcW w:type="dxa" w:w="2513"/>
            <w:tcMar>
              <w:top w:w="45" w:type="dxa"/>
              <w:start w:w="45" w:type="dxa"/>
              <w:bottom w:w="45" w:type="dxa"/>
              <w:end w:w="45" w:type="dxa"/>
            </w:tcMar>
          </w:tcPr>
          <w:p>
            <w:r>
              <w:t>Govardhanāśraya-daśakam</w:t>
            </w:r>
          </w:p>
        </w:tc>
        <w:tc>
          <w:tcPr>
            <w:tcW w:type="dxa" w:w="2513"/>
            <w:tcMar>
              <w:top w:w="45" w:type="dxa"/>
              <w:start w:w="45" w:type="dxa"/>
              <w:bottom w:w="45" w:type="dxa"/>
              <w:end w:w="45" w:type="dxa"/>
            </w:tcMar>
          </w:tcPr>
          <w:p>
            <w:r>
              <w:t>Ten prayers for shelter at Govardhana</w:t>
            </w:r>
          </w:p>
        </w:tc>
        <w:tc>
          <w:tcPr>
            <w:tcW w:type="dxa" w:w="2513"/>
            <w:tcMar>
              <w:top w:w="45" w:type="dxa"/>
              <w:start w:w="45" w:type="dxa"/>
              <w:bottom w:w="45" w:type="dxa"/>
              <w:end w:w="45" w:type="dxa"/>
            </w:tcMar>
          </w:tcPr>
          <w:p>
            <w:r>
              <w:t>Girirāja as refuge</w:t>
            </w:r>
          </w:p>
        </w:tc>
        <w:tc>
          <w:tcPr>
            <w:tcW w:type="dxa" w:w="2513"/>
            <w:tcMar>
              <w:top w:w="45" w:type="dxa"/>
              <w:start w:w="45" w:type="dxa"/>
              <w:bottom w:w="45" w:type="dxa"/>
              <w:end w:w="45" w:type="dxa"/>
            </w:tcMar>
          </w:tcPr>
          <w:p>
            <w:r>
              <w:t>Pairs naturally with the residence-prayer; do not merge the two Govardhana daśakas.</w:t>
            </w:r>
          </w:p>
        </w:tc>
      </w:tr>
      <w:tr>
        <w:trPr>
          <w:cantSplit/>
        </w:trPr>
        <w:tc>
          <w:tcPr>
            <w:tcW w:type="dxa" w:w="2513"/>
            <w:tcMar>
              <w:top w:w="45" w:type="dxa"/>
              <w:start w:w="45" w:type="dxa"/>
              <w:bottom w:w="45" w:type="dxa"/>
              <w:end w:w="45" w:type="dxa"/>
            </w:tcMar>
          </w:tcPr>
          <w:p>
            <w:r>
              <w:t>Govardhana-vāsa-prārthanā-daśakam</w:t>
            </w:r>
          </w:p>
        </w:tc>
        <w:tc>
          <w:tcPr>
            <w:tcW w:type="dxa" w:w="2513"/>
            <w:tcMar>
              <w:top w:w="45" w:type="dxa"/>
              <w:start w:w="45" w:type="dxa"/>
              <w:bottom w:w="45" w:type="dxa"/>
              <w:end w:w="45" w:type="dxa"/>
            </w:tcMar>
          </w:tcPr>
          <w:p>
            <w:r>
              <w:t>Ten prayers for residence near Govardhana</w:t>
            </w:r>
          </w:p>
        </w:tc>
        <w:tc>
          <w:tcPr>
            <w:tcW w:type="dxa" w:w="2513"/>
            <w:tcMar>
              <w:top w:w="45" w:type="dxa"/>
              <w:start w:w="45" w:type="dxa"/>
              <w:bottom w:w="45" w:type="dxa"/>
              <w:end w:w="45" w:type="dxa"/>
            </w:tcMar>
          </w:tcPr>
          <w:p>
            <w:r>
              <w:t>Residence, Mahāprabhu’s entrustment, līlā geography</w:t>
            </w:r>
          </w:p>
        </w:tc>
        <w:tc>
          <w:tcPr>
            <w:tcW w:type="dxa" w:w="2513"/>
            <w:tcMar>
              <w:top w:w="45" w:type="dxa"/>
              <w:start w:w="45" w:type="dxa"/>
              <w:bottom w:w="45" w:type="dxa"/>
              <w:end w:w="45" w:type="dxa"/>
            </w:tcMar>
          </w:tcPr>
          <w:p>
            <w:r>
              <w:t>Major biographical source for why Govardhana became his chosen place.</w:t>
            </w:r>
          </w:p>
        </w:tc>
      </w:tr>
      <w:tr>
        <w:trPr>
          <w:cantSplit/>
        </w:trPr>
        <w:tc>
          <w:tcPr>
            <w:tcW w:type="dxa" w:w="2513"/>
            <w:tcMar>
              <w:top w:w="45" w:type="dxa"/>
              <w:start w:w="45" w:type="dxa"/>
              <w:bottom w:w="45" w:type="dxa"/>
              <w:end w:w="45" w:type="dxa"/>
            </w:tcMar>
          </w:tcPr>
          <w:p>
            <w:r>
              <w:t>Rādhā-kuṇḍāṣṭakam</w:t>
            </w:r>
          </w:p>
        </w:tc>
        <w:tc>
          <w:tcPr>
            <w:tcW w:type="dxa" w:w="2513"/>
            <w:tcMar>
              <w:top w:w="45" w:type="dxa"/>
              <w:start w:w="45" w:type="dxa"/>
              <w:bottom w:w="45" w:type="dxa"/>
              <w:end w:w="45" w:type="dxa"/>
            </w:tcMar>
          </w:tcPr>
          <w:p>
            <w:r>
              <w:t>Eight-verse hymn to Rādhā-kuṇḍa</w:t>
            </w:r>
          </w:p>
        </w:tc>
        <w:tc>
          <w:tcPr>
            <w:tcW w:type="dxa" w:w="2513"/>
            <w:tcMar>
              <w:top w:w="45" w:type="dxa"/>
              <w:start w:w="45" w:type="dxa"/>
              <w:bottom w:w="45" w:type="dxa"/>
              <w:end w:w="45" w:type="dxa"/>
            </w:tcMar>
          </w:tcPr>
          <w:p>
            <w:r>
              <w:t>Kuṇḍa-sevā, shelter, Rādhā-dāsya, daily līlā</w:t>
            </w:r>
          </w:p>
        </w:tc>
        <w:tc>
          <w:tcPr>
            <w:tcW w:type="dxa" w:w="2513"/>
            <w:tcMar>
              <w:top w:w="45" w:type="dxa"/>
              <w:start w:w="45" w:type="dxa"/>
              <w:bottom w:w="45" w:type="dxa"/>
              <w:end w:w="45" w:type="dxa"/>
            </w:tcMar>
          </w:tcPr>
          <w:p>
            <w:r>
              <w:t>Central A1 source for the devotional meaning of his Rādhā-kuṇḍa residence.</w:t>
            </w:r>
          </w:p>
        </w:tc>
      </w:tr>
      <w:tr>
        <w:trPr>
          <w:cantSplit/>
        </w:trPr>
        <w:tc>
          <w:tcPr>
            <w:tcW w:type="dxa" w:w="2513"/>
            <w:tcMar>
              <w:top w:w="45" w:type="dxa"/>
              <w:start w:w="45" w:type="dxa"/>
              <w:bottom w:w="45" w:type="dxa"/>
              <w:end w:w="45" w:type="dxa"/>
            </w:tcMar>
          </w:tcPr>
          <w:p>
            <w:r>
              <w:t>Vilāpa-kusumāñjali</w:t>
            </w:r>
          </w:p>
        </w:tc>
        <w:tc>
          <w:tcPr>
            <w:tcW w:type="dxa" w:w="2513"/>
            <w:tcMar>
              <w:top w:w="45" w:type="dxa"/>
              <w:start w:w="45" w:type="dxa"/>
              <w:bottom w:w="45" w:type="dxa"/>
              <w:end w:w="45" w:type="dxa"/>
            </w:tcMar>
          </w:tcPr>
          <w:p>
            <w:r>
              <w:t>104-verse lament/prayer sequence</w:t>
            </w:r>
          </w:p>
        </w:tc>
        <w:tc>
          <w:tcPr>
            <w:tcW w:type="dxa" w:w="2513"/>
            <w:tcMar>
              <w:top w:w="45" w:type="dxa"/>
              <w:start w:w="45" w:type="dxa"/>
              <w:bottom w:w="45" w:type="dxa"/>
              <w:end w:w="45" w:type="dxa"/>
            </w:tcMar>
          </w:tcPr>
          <w:p>
            <w:r>
              <w:t>Rādhā-dāsya, mañjarī-service voice, viraha, Rūpa Mañjarī, Rādhā-kuṇḍa</w:t>
            </w:r>
          </w:p>
        </w:tc>
        <w:tc>
          <w:tcPr>
            <w:tcW w:type="dxa" w:w="2513"/>
            <w:tcMar>
              <w:top w:w="45" w:type="dxa"/>
              <w:start w:w="45" w:type="dxa"/>
              <w:bottom w:w="45" w:type="dxa"/>
              <w:end w:w="45" w:type="dxa"/>
            </w:tcMar>
          </w:tcPr>
          <w:p>
            <w:r>
              <w:t>The single most important work for the inner devotional identity expressed in Raghunātha’s own voice.</w:t>
            </w:r>
          </w:p>
        </w:tc>
      </w:tr>
      <w:tr>
        <w:trPr>
          <w:cantSplit/>
        </w:trPr>
        <w:tc>
          <w:tcPr>
            <w:tcW w:type="dxa" w:w="2513"/>
            <w:tcMar>
              <w:top w:w="45" w:type="dxa"/>
              <w:start w:w="45" w:type="dxa"/>
              <w:bottom w:w="45" w:type="dxa"/>
              <w:end w:w="45" w:type="dxa"/>
            </w:tcMar>
          </w:tcPr>
          <w:p>
            <w:r>
              <w:t>Vraja-vilāsa-stava</w:t>
            </w:r>
          </w:p>
        </w:tc>
        <w:tc>
          <w:tcPr>
            <w:tcW w:type="dxa" w:w="2513"/>
            <w:tcMar>
              <w:top w:w="45" w:type="dxa"/>
              <w:start w:w="45" w:type="dxa"/>
              <w:bottom w:w="45" w:type="dxa"/>
              <w:end w:w="45" w:type="dxa"/>
            </w:tcMar>
          </w:tcPr>
          <w:p>
            <w:r>
              <w:t>Extended praise of Vraja persons and places</w:t>
            </w:r>
          </w:p>
        </w:tc>
        <w:tc>
          <w:tcPr>
            <w:tcW w:type="dxa" w:w="2513"/>
            <w:tcMar>
              <w:top w:w="45" w:type="dxa"/>
              <w:start w:w="45" w:type="dxa"/>
              <w:bottom w:w="45" w:type="dxa"/>
              <w:end w:w="45" w:type="dxa"/>
            </w:tcMar>
          </w:tcPr>
          <w:p>
            <w:r>
              <w:t>Vraja social world, sacred geography, Rūpa Mañjarī, Vrajavāsīs</w:t>
            </w:r>
          </w:p>
        </w:tc>
        <w:tc>
          <w:tcPr>
            <w:tcW w:type="dxa" w:w="2513"/>
            <w:tcMar>
              <w:top w:w="45" w:type="dxa"/>
              <w:start w:w="45" w:type="dxa"/>
              <w:bottom w:w="45" w:type="dxa"/>
              <w:end w:w="45" w:type="dxa"/>
            </w:tcMar>
          </w:tcPr>
          <w:p>
            <w:r>
              <w:t>Major bridge between person-centered devotion and lived Vraja geography.</w:t>
            </w:r>
          </w:p>
        </w:tc>
      </w:tr>
      <w:tr>
        <w:trPr>
          <w:cantSplit/>
        </w:trPr>
        <w:tc>
          <w:tcPr>
            <w:tcW w:type="dxa" w:w="2513"/>
            <w:tcMar>
              <w:top w:w="45" w:type="dxa"/>
              <w:start w:w="45" w:type="dxa"/>
              <w:bottom w:w="45" w:type="dxa"/>
              <w:end w:w="45" w:type="dxa"/>
            </w:tcMar>
          </w:tcPr>
          <w:p>
            <w:r>
              <w:t>Sva-niyama-daśakam</w:t>
            </w:r>
          </w:p>
        </w:tc>
        <w:tc>
          <w:tcPr>
            <w:tcW w:type="dxa" w:w="2513"/>
            <w:tcMar>
              <w:top w:w="45" w:type="dxa"/>
              <w:start w:w="45" w:type="dxa"/>
              <w:bottom w:w="45" w:type="dxa"/>
              <w:end w:w="45" w:type="dxa"/>
            </w:tcMar>
          </w:tcPr>
          <w:p>
            <w:r>
              <w:t>Ten personal vows</w:t>
            </w:r>
          </w:p>
        </w:tc>
        <w:tc>
          <w:tcPr>
            <w:tcW w:type="dxa" w:w="2513"/>
            <w:tcMar>
              <w:top w:w="45" w:type="dxa"/>
              <w:start w:w="45" w:type="dxa"/>
              <w:bottom w:w="45" w:type="dxa"/>
              <w:end w:w="45" w:type="dxa"/>
            </w:tcMar>
          </w:tcPr>
          <w:p>
            <w:r>
              <w:t>Attachment to guru, Gaurāṅga, Svarūpa, Rūpa, Sanātana, Govardhana, Rādhā-kuṇḍa</w:t>
            </w:r>
          </w:p>
        </w:tc>
        <w:tc>
          <w:tcPr>
            <w:tcW w:type="dxa" w:w="2513"/>
            <w:tcMar>
              <w:top w:w="45" w:type="dxa"/>
              <w:start w:w="45" w:type="dxa"/>
              <w:bottom w:w="45" w:type="dxa"/>
              <w:end w:w="45" w:type="dxa"/>
            </w:tcMar>
          </w:tcPr>
          <w:p>
            <w:r>
              <w:t>Especially valuable for Raghunātha’s hierarchy of belonging and devotional commitments.</w:t>
            </w:r>
          </w:p>
        </w:tc>
      </w:tr>
      <w:tr>
        <w:trPr>
          <w:cantSplit/>
        </w:trPr>
        <w:tc>
          <w:tcPr>
            <w:tcW w:type="dxa" w:w="2513"/>
            <w:tcMar>
              <w:top w:w="45" w:type="dxa"/>
              <w:start w:w="45" w:type="dxa"/>
              <w:bottom w:w="45" w:type="dxa"/>
              <w:end w:w="45" w:type="dxa"/>
            </w:tcMar>
          </w:tcPr>
          <w:p>
            <w:r>
              <w:t>Rādhikāṣṭottara-śata-nāma-stotram</w:t>
            </w:r>
          </w:p>
        </w:tc>
        <w:tc>
          <w:tcPr>
            <w:tcW w:type="dxa" w:w="2513"/>
            <w:tcMar>
              <w:top w:w="45" w:type="dxa"/>
              <w:start w:w="45" w:type="dxa"/>
              <w:bottom w:w="45" w:type="dxa"/>
              <w:end w:w="45" w:type="dxa"/>
            </w:tcMar>
          </w:tcPr>
          <w:p>
            <w:r>
              <w:t>108 names of Śrī Rādhā</w:t>
            </w:r>
          </w:p>
        </w:tc>
        <w:tc>
          <w:tcPr>
            <w:tcW w:type="dxa" w:w="2513"/>
            <w:tcMar>
              <w:top w:w="45" w:type="dxa"/>
              <w:start w:w="45" w:type="dxa"/>
              <w:bottom w:w="45" w:type="dxa"/>
              <w:end w:w="45" w:type="dxa"/>
            </w:tcMar>
          </w:tcPr>
          <w:p>
            <w:r>
              <w:t>Praise of Rādhā</w:t>
            </w:r>
          </w:p>
        </w:tc>
        <w:tc>
          <w:tcPr>
            <w:tcW w:type="dxa" w:w="2513"/>
            <w:tcMar>
              <w:top w:w="45" w:type="dxa"/>
              <w:start w:w="45" w:type="dxa"/>
              <w:bottom w:w="45" w:type="dxa"/>
              <w:end w:w="45" w:type="dxa"/>
            </w:tcMar>
          </w:tcPr>
          <w:p>
            <w:r>
              <w:t>Important Rādhā-centered text; useful for devotional voice more than external biography.</w:t>
            </w:r>
          </w:p>
        </w:tc>
      </w:tr>
      <w:tr>
        <w:trPr>
          <w:cantSplit/>
        </w:trPr>
        <w:tc>
          <w:tcPr>
            <w:tcW w:type="dxa" w:w="2513"/>
            <w:tcMar>
              <w:top w:w="45" w:type="dxa"/>
              <w:start w:w="45" w:type="dxa"/>
              <w:bottom w:w="45" w:type="dxa"/>
              <w:end w:w="45" w:type="dxa"/>
            </w:tcMar>
          </w:tcPr>
          <w:p>
            <w:r>
              <w:t>Viśākhānandābhidha-stotram</w:t>
            </w:r>
          </w:p>
        </w:tc>
        <w:tc>
          <w:tcPr>
            <w:tcW w:type="dxa" w:w="2513"/>
            <w:tcMar>
              <w:top w:w="45" w:type="dxa"/>
              <w:start w:w="45" w:type="dxa"/>
              <w:bottom w:w="45" w:type="dxa"/>
              <w:end w:w="45" w:type="dxa"/>
            </w:tcMar>
          </w:tcPr>
          <w:p>
            <w:r>
              <w:t>Extended Rādhā/Viśākhā-centered praise</w:t>
            </w:r>
          </w:p>
        </w:tc>
        <w:tc>
          <w:tcPr>
            <w:tcW w:type="dxa" w:w="2513"/>
            <w:tcMar>
              <w:top w:w="45" w:type="dxa"/>
              <w:start w:w="45" w:type="dxa"/>
              <w:bottom w:w="45" w:type="dxa"/>
              <w:end w:w="45" w:type="dxa"/>
            </w:tcMar>
          </w:tcPr>
          <w:p>
            <w:r>
              <w:t>Rādhā, Viśākhā, intimate Vraja service</w:t>
            </w:r>
          </w:p>
        </w:tc>
        <w:tc>
          <w:tcPr>
            <w:tcW w:type="dxa" w:w="2513"/>
            <w:tcMar>
              <w:top w:w="45" w:type="dxa"/>
              <w:start w:w="45" w:type="dxa"/>
              <w:bottom w:w="45" w:type="dxa"/>
              <w:end w:w="45" w:type="dxa"/>
            </w:tcMar>
          </w:tcPr>
          <w:p>
            <w:r>
              <w:t>Contains strong Rūpa-centered self-positioning near its conclusion; useful for inner-lineage study.</w:t>
            </w:r>
          </w:p>
        </w:tc>
      </w:tr>
      <w:tr>
        <w:trPr>
          <w:cantSplit/>
        </w:trPr>
        <w:tc>
          <w:tcPr>
            <w:tcW w:type="dxa" w:w="2513"/>
            <w:tcMar>
              <w:top w:w="45" w:type="dxa"/>
              <w:start w:w="45" w:type="dxa"/>
              <w:bottom w:w="45" w:type="dxa"/>
              <w:end w:w="45" w:type="dxa"/>
            </w:tcMar>
          </w:tcPr>
          <w:p>
            <w:r>
              <w:t>Dāna-nivartana-kuṇḍāṣṭakam</w:t>
            </w:r>
          </w:p>
        </w:tc>
        <w:tc>
          <w:tcPr>
            <w:tcW w:type="dxa" w:w="2513"/>
            <w:tcMar>
              <w:top w:w="45" w:type="dxa"/>
              <w:start w:w="45" w:type="dxa"/>
              <w:bottom w:w="45" w:type="dxa"/>
              <w:end w:w="45" w:type="dxa"/>
            </w:tcMar>
          </w:tcPr>
          <w:p>
            <w:r>
              <w:t>Eight verses on Dāna-nivartana-kuṇḍa</w:t>
            </w:r>
          </w:p>
        </w:tc>
        <w:tc>
          <w:tcPr>
            <w:tcW w:type="dxa" w:w="2513"/>
            <w:tcMar>
              <w:top w:w="45" w:type="dxa"/>
              <w:start w:w="45" w:type="dxa"/>
              <w:bottom w:w="45" w:type="dxa"/>
              <w:end w:w="45" w:type="dxa"/>
            </w:tcMar>
          </w:tcPr>
          <w:p>
            <w:r>
              <w:t>Toll-līlā landscape</w:t>
            </w:r>
          </w:p>
        </w:tc>
        <w:tc>
          <w:tcPr>
            <w:tcW w:type="dxa" w:w="2513"/>
            <w:tcMar>
              <w:top w:w="45" w:type="dxa"/>
              <w:start w:w="45" w:type="dxa"/>
              <w:bottom w:w="45" w:type="dxa"/>
              <w:end w:w="45" w:type="dxa"/>
            </w:tcMar>
          </w:tcPr>
          <w:p>
            <w:r>
              <w:t>Shows how līlā-poetry and actual Vraja sacred geography interlock.</w:t>
            </w:r>
          </w:p>
        </w:tc>
      </w:tr>
      <w:tr>
        <w:trPr>
          <w:cantSplit/>
        </w:trPr>
        <w:tc>
          <w:tcPr>
            <w:tcW w:type="dxa" w:w="2513"/>
            <w:tcMar>
              <w:top w:w="45" w:type="dxa"/>
              <w:start w:w="45" w:type="dxa"/>
              <w:bottom w:w="45" w:type="dxa"/>
              <w:end w:w="45" w:type="dxa"/>
            </w:tcMar>
          </w:tcPr>
          <w:p>
            <w:r>
              <w:t>Prārthanāśraya-caturdaśakam</w:t>
            </w:r>
          </w:p>
        </w:tc>
        <w:tc>
          <w:tcPr>
            <w:tcW w:type="dxa" w:w="2513"/>
            <w:tcMar>
              <w:top w:w="45" w:type="dxa"/>
              <w:start w:w="45" w:type="dxa"/>
              <w:bottom w:w="45" w:type="dxa"/>
              <w:end w:w="45" w:type="dxa"/>
            </w:tcMar>
          </w:tcPr>
          <w:p>
            <w:r>
              <w:t>Fourteen refuge-prayers</w:t>
            </w:r>
          </w:p>
        </w:tc>
        <w:tc>
          <w:tcPr>
            <w:tcW w:type="dxa" w:w="2513"/>
            <w:tcMar>
              <w:top w:w="45" w:type="dxa"/>
              <w:start w:w="45" w:type="dxa"/>
              <w:bottom w:w="45" w:type="dxa"/>
              <w:end w:w="45" w:type="dxa"/>
            </w:tcMar>
          </w:tcPr>
          <w:p>
            <w:r>
              <w:t>Govardhana/Rādhā-kuṇḍa residence and remembrance</w:t>
            </w:r>
          </w:p>
        </w:tc>
        <w:tc>
          <w:tcPr>
            <w:tcW w:type="dxa" w:w="2513"/>
            <w:tcMar>
              <w:top w:w="45" w:type="dxa"/>
              <w:start w:w="45" w:type="dxa"/>
              <w:bottom w:w="45" w:type="dxa"/>
              <w:end w:w="45" w:type="dxa"/>
            </w:tcMar>
          </w:tcPr>
          <w:p>
            <w:r>
              <w:t>Contains striking late devotional geography; distinguish from other works titled Prārthanā.</w:t>
            </w:r>
          </w:p>
        </w:tc>
      </w:tr>
      <w:tr>
        <w:trPr>
          <w:cantSplit/>
        </w:trPr>
        <w:tc>
          <w:tcPr>
            <w:tcW w:type="dxa" w:w="2513"/>
            <w:tcMar>
              <w:top w:w="45" w:type="dxa"/>
              <w:start w:w="45" w:type="dxa"/>
              <w:bottom w:w="45" w:type="dxa"/>
              <w:end w:w="45" w:type="dxa"/>
            </w:tcMar>
          </w:tcPr>
          <w:p>
            <w:r>
              <w:t>Abhīṣṭa-sūcanam</w:t>
            </w:r>
          </w:p>
        </w:tc>
        <w:tc>
          <w:tcPr>
            <w:tcW w:type="dxa" w:w="2513"/>
            <w:tcMar>
              <w:top w:w="45" w:type="dxa"/>
              <w:start w:w="45" w:type="dxa"/>
              <w:bottom w:w="45" w:type="dxa"/>
              <w:end w:w="45" w:type="dxa"/>
            </w:tcMar>
          </w:tcPr>
          <w:p>
            <w:r>
              <w:t>Statement of cherished aspiration</w:t>
            </w:r>
          </w:p>
        </w:tc>
        <w:tc>
          <w:tcPr>
            <w:tcW w:type="dxa" w:w="2513"/>
            <w:tcMar>
              <w:top w:w="45" w:type="dxa"/>
              <w:start w:w="45" w:type="dxa"/>
              <w:bottom w:w="45" w:type="dxa"/>
              <w:end w:w="45" w:type="dxa"/>
            </w:tcMar>
          </w:tcPr>
          <w:p>
            <w:r>
              <w:t>Rūpa, Vraja, desired service</w:t>
            </w:r>
          </w:p>
        </w:tc>
        <w:tc>
          <w:tcPr>
            <w:tcW w:type="dxa" w:w="2513"/>
            <w:tcMar>
              <w:top w:w="45" w:type="dxa"/>
              <w:start w:w="45" w:type="dxa"/>
              <w:bottom w:w="45" w:type="dxa"/>
              <w:end w:w="45" w:type="dxa"/>
            </w:tcMar>
          </w:tcPr>
          <w:p>
            <w:r>
              <w:t>Useful for concise statements of Rūpānuga aspiration.</w:t>
            </w:r>
          </w:p>
        </w:tc>
      </w:tr>
    </w:tbl>
    <w:p/>
    <w:p>
      <w:pPr>
        <w:pStyle w:val="Heading2"/>
        <w:spacing w:after="80"/>
      </w:pPr>
      <w:r>
        <w:rPr>
          <w:b w:val="0"/>
          <w:i w:val="0"/>
        </w:rPr>
        <w:t>Complete thirty-title Stavāvalī inventory</w:t>
      </w:r>
    </w:p>
    <w:tbl>
      <w:tblPr>
        <w:tblStyle w:val="TableGrid"/>
        <w:tblW w:type="auto" w:w="0"/>
        <w:jc w:val="center"/>
        <w:tblLook w:firstColumn="1" w:firstRow="1" w:lastColumn="0" w:lastRow="0" w:noHBand="0" w:noVBand="1" w:val="04A0"/>
      </w:tblPr>
      <w:tblGrid>
        <w:gridCol w:w="5026"/>
        <w:gridCol w:w="5026"/>
      </w:tblGrid>
      <w:tr>
        <w:trPr>
          <w:cantSplit/>
          <w:tblHeader w:val="true"/>
        </w:trPr>
        <w:tc>
          <w:tcPr>
            <w:tcW w:type="dxa" w:w="5026"/>
            <w:shd w:fill="E9D8DD"/>
          </w:tcPr>
          <w:p>
            <w:r>
              <w:rPr>
                <w:b/>
              </w:rPr>
              <w:t>1–15</w:t>
            </w:r>
          </w:p>
        </w:tc>
        <w:tc>
          <w:tcPr>
            <w:tcW w:type="dxa" w:w="5026"/>
            <w:shd w:fill="E9D8DD"/>
          </w:tcPr>
          <w:p>
            <w:r>
              <w:rPr>
                <w:b/>
              </w:rPr>
              <w:t>16–30</w:t>
            </w:r>
          </w:p>
        </w:tc>
      </w:tr>
      <w:tr>
        <w:trPr>
          <w:cantSplit/>
        </w:trPr>
        <w:tc>
          <w:tcPr>
            <w:tcW w:type="dxa" w:w="5026"/>
            <w:tcMar>
              <w:top w:w="55" w:type="dxa"/>
              <w:start w:w="50" w:type="dxa"/>
              <w:bottom w:w="55" w:type="dxa"/>
              <w:end w:w="50" w:type="dxa"/>
            </w:tcMar>
          </w:tcPr>
          <w:p>
            <w:r>
              <w:t>1. Śacī-sūnv-aṣṭakam</w:t>
            </w:r>
          </w:p>
        </w:tc>
        <w:tc>
          <w:tcPr>
            <w:tcW w:type="dxa" w:w="5026"/>
            <w:tcMar>
              <w:top w:w="55" w:type="dxa"/>
              <w:start w:w="50" w:type="dxa"/>
              <w:bottom w:w="55" w:type="dxa"/>
              <w:end w:w="50" w:type="dxa"/>
            </w:tcMar>
          </w:tcPr>
          <w:p>
            <w:r>
              <w:t>16. Prārthanāmṛtam</w:t>
            </w:r>
          </w:p>
        </w:tc>
      </w:tr>
      <w:tr>
        <w:trPr>
          <w:cantSplit/>
        </w:trPr>
        <w:tc>
          <w:tcPr>
            <w:tcW w:type="dxa" w:w="5026"/>
            <w:tcMar>
              <w:top w:w="55" w:type="dxa"/>
              <w:start w:w="50" w:type="dxa"/>
              <w:bottom w:w="55" w:type="dxa"/>
              <w:end w:w="50" w:type="dxa"/>
            </w:tcMar>
          </w:tcPr>
          <w:p>
            <w:r>
              <w:t>2. Gaurāṅga-stava-kalpavṛkṣa</w:t>
            </w:r>
          </w:p>
        </w:tc>
        <w:tc>
          <w:tcPr>
            <w:tcW w:type="dxa" w:w="5026"/>
            <w:tcMar>
              <w:top w:w="55" w:type="dxa"/>
              <w:start w:w="50" w:type="dxa"/>
              <w:bottom w:w="55" w:type="dxa"/>
              <w:end w:w="50" w:type="dxa"/>
            </w:tcMar>
          </w:tcPr>
          <w:p>
            <w:r>
              <w:t>17. Rādhikāṣṭakam</w:t>
            </w:r>
          </w:p>
        </w:tc>
      </w:tr>
      <w:tr>
        <w:trPr>
          <w:cantSplit/>
        </w:trPr>
        <w:tc>
          <w:tcPr>
            <w:tcW w:type="dxa" w:w="5026"/>
            <w:tcMar>
              <w:top w:w="55" w:type="dxa"/>
              <w:start w:w="50" w:type="dxa"/>
              <w:bottom w:w="55" w:type="dxa"/>
              <w:end w:w="50" w:type="dxa"/>
            </w:tcMar>
          </w:tcPr>
          <w:p>
            <w:r>
              <w:t>3. Manaḥ-śikṣā</w:t>
            </w:r>
          </w:p>
        </w:tc>
        <w:tc>
          <w:tcPr>
            <w:tcW w:type="dxa" w:w="5026"/>
            <w:tcMar>
              <w:top w:w="55" w:type="dxa"/>
              <w:start w:w="50" w:type="dxa"/>
              <w:bottom w:w="55" w:type="dxa"/>
              <w:end w:w="50" w:type="dxa"/>
            </w:tcMar>
          </w:tcPr>
          <w:p>
            <w:r>
              <w:t>18. Gāndharvā-samprārthanāṣṭakam</w:t>
            </w:r>
          </w:p>
        </w:tc>
      </w:tr>
      <w:tr>
        <w:trPr>
          <w:cantSplit/>
        </w:trPr>
        <w:tc>
          <w:tcPr>
            <w:tcW w:type="dxa" w:w="5026"/>
            <w:tcMar>
              <w:top w:w="55" w:type="dxa"/>
              <w:start w:w="50" w:type="dxa"/>
              <w:bottom w:w="55" w:type="dxa"/>
              <w:end w:w="50" w:type="dxa"/>
            </w:tcMar>
          </w:tcPr>
          <w:p>
            <w:r>
              <w:t>4. Śrī Raghunātha-dāsa-gosvāminaḥ Prārthanā</w:t>
            </w:r>
          </w:p>
        </w:tc>
        <w:tc>
          <w:tcPr>
            <w:tcW w:type="dxa" w:w="5026"/>
            <w:tcMar>
              <w:top w:w="55" w:type="dxa"/>
              <w:start w:w="50" w:type="dxa"/>
              <w:bottom w:w="55" w:type="dxa"/>
              <w:end w:w="50" w:type="dxa"/>
            </w:tcMar>
          </w:tcPr>
          <w:p>
            <w:r>
              <w:t>19. Rādhā-kṛṣṇojjvala-kusuma-keliḥ</w:t>
            </w:r>
          </w:p>
        </w:tc>
      </w:tr>
      <w:tr>
        <w:trPr>
          <w:cantSplit/>
        </w:trPr>
        <w:tc>
          <w:tcPr>
            <w:tcW w:type="dxa" w:w="5026"/>
            <w:tcMar>
              <w:top w:w="55" w:type="dxa"/>
              <w:start w:w="50" w:type="dxa"/>
              <w:bottom w:w="55" w:type="dxa"/>
              <w:end w:w="50" w:type="dxa"/>
            </w:tcMar>
          </w:tcPr>
          <w:p>
            <w:r>
              <w:t>5. Govardhanāśraya-daśakam</w:t>
            </w:r>
          </w:p>
        </w:tc>
        <w:tc>
          <w:tcPr>
            <w:tcW w:type="dxa" w:w="5026"/>
            <w:tcMar>
              <w:top w:w="55" w:type="dxa"/>
              <w:start w:w="50" w:type="dxa"/>
              <w:bottom w:w="55" w:type="dxa"/>
              <w:end w:w="50" w:type="dxa"/>
            </w:tcMar>
          </w:tcPr>
          <w:p>
            <w:r>
              <w:t>20. Navāṣṭakam</w:t>
            </w:r>
          </w:p>
        </w:tc>
      </w:tr>
      <w:tr>
        <w:trPr>
          <w:cantSplit/>
        </w:trPr>
        <w:tc>
          <w:tcPr>
            <w:tcW w:type="dxa" w:w="5026"/>
            <w:tcMar>
              <w:top w:w="55" w:type="dxa"/>
              <w:start w:w="50" w:type="dxa"/>
              <w:bottom w:w="55" w:type="dxa"/>
              <w:end w:w="50" w:type="dxa"/>
            </w:tcMar>
          </w:tcPr>
          <w:p>
            <w:r>
              <w:t>6. Govardhana-vāsa-prārthanā-daśakam</w:t>
            </w:r>
          </w:p>
        </w:tc>
        <w:tc>
          <w:tcPr>
            <w:tcW w:type="dxa" w:w="5026"/>
            <w:tcMar>
              <w:top w:w="55" w:type="dxa"/>
              <w:start w:w="50" w:type="dxa"/>
              <w:bottom w:w="55" w:type="dxa"/>
              <w:end w:w="50" w:type="dxa"/>
            </w:tcMar>
          </w:tcPr>
          <w:p>
            <w:r>
              <w:t>21. Gopāla-rāja-stotram</w:t>
            </w:r>
          </w:p>
        </w:tc>
      </w:tr>
      <w:tr>
        <w:trPr>
          <w:cantSplit/>
        </w:trPr>
        <w:tc>
          <w:tcPr>
            <w:tcW w:type="dxa" w:w="5026"/>
            <w:tcMar>
              <w:top w:w="55" w:type="dxa"/>
              <w:start w:w="50" w:type="dxa"/>
              <w:bottom w:w="55" w:type="dxa"/>
              <w:end w:w="50" w:type="dxa"/>
            </w:tcMar>
          </w:tcPr>
          <w:p>
            <w:r>
              <w:t>7. Rādhā-kuṇḍāṣṭakam</w:t>
            </w:r>
          </w:p>
        </w:tc>
        <w:tc>
          <w:tcPr>
            <w:tcW w:type="dxa" w:w="5026"/>
            <w:tcMar>
              <w:top w:w="55" w:type="dxa"/>
              <w:start w:w="50" w:type="dxa"/>
              <w:bottom w:w="55" w:type="dxa"/>
              <w:end w:w="50" w:type="dxa"/>
            </w:tcMar>
          </w:tcPr>
          <w:p>
            <w:r>
              <w:t>22. Madana-gopāla-stotram</w:t>
            </w:r>
          </w:p>
        </w:tc>
      </w:tr>
      <w:tr>
        <w:trPr>
          <w:cantSplit/>
        </w:trPr>
        <w:tc>
          <w:tcPr>
            <w:tcW w:type="dxa" w:w="5026"/>
            <w:tcMar>
              <w:top w:w="55" w:type="dxa"/>
              <w:start w:w="50" w:type="dxa"/>
              <w:bottom w:w="55" w:type="dxa"/>
              <w:end w:w="50" w:type="dxa"/>
            </w:tcMar>
          </w:tcPr>
          <w:p>
            <w:r>
              <w:t>8. Vilāpa-kusumāñjali</w:t>
            </w:r>
          </w:p>
        </w:tc>
        <w:tc>
          <w:tcPr>
            <w:tcW w:type="dxa" w:w="5026"/>
            <w:tcMar>
              <w:top w:w="55" w:type="dxa"/>
              <w:start w:w="50" w:type="dxa"/>
              <w:bottom w:w="55" w:type="dxa"/>
              <w:end w:w="50" w:type="dxa"/>
            </w:tcMar>
          </w:tcPr>
          <w:p>
            <w:r>
              <w:t>23. Viśākhānandābhidha-stotram</w:t>
            </w:r>
          </w:p>
        </w:tc>
      </w:tr>
      <w:tr>
        <w:trPr>
          <w:cantSplit/>
        </w:trPr>
        <w:tc>
          <w:tcPr>
            <w:tcW w:type="dxa" w:w="5026"/>
            <w:tcMar>
              <w:top w:w="55" w:type="dxa"/>
              <w:start w:w="50" w:type="dxa"/>
              <w:bottom w:w="55" w:type="dxa"/>
              <w:end w:w="50" w:type="dxa"/>
            </w:tcMar>
          </w:tcPr>
          <w:p>
            <w:r>
              <w:t>9. Vraja-vilāsa-stava</w:t>
            </w:r>
          </w:p>
        </w:tc>
        <w:tc>
          <w:tcPr>
            <w:tcW w:type="dxa" w:w="5026"/>
            <w:tcMar>
              <w:top w:w="55" w:type="dxa"/>
              <w:start w:w="50" w:type="dxa"/>
              <w:bottom w:w="55" w:type="dxa"/>
              <w:end w:w="50" w:type="dxa"/>
            </w:tcMar>
          </w:tcPr>
          <w:p>
            <w:r>
              <w:t>24. Mukundāṣṭakam</w:t>
            </w:r>
          </w:p>
        </w:tc>
      </w:tr>
      <w:tr>
        <w:trPr>
          <w:cantSplit/>
        </w:trPr>
        <w:tc>
          <w:tcPr>
            <w:tcW w:type="dxa" w:w="5026"/>
            <w:tcMar>
              <w:top w:w="55" w:type="dxa"/>
              <w:start w:w="50" w:type="dxa"/>
              <w:bottom w:w="55" w:type="dxa"/>
              <w:end w:w="50" w:type="dxa"/>
            </w:tcMar>
          </w:tcPr>
          <w:p>
            <w:r>
              <w:t>10. Rādhikāyāḥ Prema-purābhidha-stotram</w:t>
            </w:r>
          </w:p>
        </w:tc>
        <w:tc>
          <w:tcPr>
            <w:tcW w:type="dxa" w:w="5026"/>
            <w:tcMar>
              <w:top w:w="55" w:type="dxa"/>
              <w:start w:w="50" w:type="dxa"/>
              <w:bottom w:w="55" w:type="dxa"/>
              <w:end w:w="50" w:type="dxa"/>
            </w:tcMar>
          </w:tcPr>
          <w:p>
            <w:r>
              <w:t>25. Utkaṇṭhā-daśakam</w:t>
            </w:r>
          </w:p>
        </w:tc>
      </w:tr>
      <w:tr>
        <w:trPr>
          <w:cantSplit/>
        </w:trPr>
        <w:tc>
          <w:tcPr>
            <w:tcW w:type="dxa" w:w="5026"/>
            <w:tcMar>
              <w:top w:w="55" w:type="dxa"/>
              <w:start w:w="50" w:type="dxa"/>
              <w:bottom w:w="55" w:type="dxa"/>
              <w:end w:w="50" w:type="dxa"/>
            </w:tcMar>
          </w:tcPr>
          <w:p>
            <w:r>
              <w:t>11. Grantha-kartuḥ Prārthanā</w:t>
            </w:r>
          </w:p>
        </w:tc>
        <w:tc>
          <w:tcPr>
            <w:tcW w:type="dxa" w:w="5026"/>
            <w:tcMar>
              <w:top w:w="55" w:type="dxa"/>
              <w:start w:w="50" w:type="dxa"/>
              <w:bottom w:w="55" w:type="dxa"/>
              <w:end w:w="50" w:type="dxa"/>
            </w:tcMar>
          </w:tcPr>
          <w:p>
            <w:r>
              <w:t>26. Nava-yuva-dvandva-didṛkṣāṣṭakam</w:t>
            </w:r>
          </w:p>
        </w:tc>
      </w:tr>
      <w:tr>
        <w:trPr>
          <w:cantSplit/>
        </w:trPr>
        <w:tc>
          <w:tcPr>
            <w:tcW w:type="dxa" w:w="5026"/>
            <w:tcMar>
              <w:top w:w="55" w:type="dxa"/>
              <w:start w:w="50" w:type="dxa"/>
              <w:bottom w:w="55" w:type="dxa"/>
              <w:end w:w="50" w:type="dxa"/>
            </w:tcMar>
          </w:tcPr>
          <w:p>
            <w:r>
              <w:t>12. Sva-niyama-daśakam</w:t>
            </w:r>
          </w:p>
        </w:tc>
        <w:tc>
          <w:tcPr>
            <w:tcW w:type="dxa" w:w="5026"/>
            <w:tcMar>
              <w:top w:w="55" w:type="dxa"/>
              <w:start w:w="50" w:type="dxa"/>
              <w:bottom w:w="55" w:type="dxa"/>
              <w:end w:w="50" w:type="dxa"/>
            </w:tcMar>
          </w:tcPr>
          <w:p>
            <w:r>
              <w:t>27. Abhīṣṭa-prārthanāṣṭakam</w:t>
            </w:r>
          </w:p>
        </w:tc>
      </w:tr>
      <w:tr>
        <w:trPr>
          <w:cantSplit/>
        </w:trPr>
        <w:tc>
          <w:tcPr>
            <w:tcW w:type="dxa" w:w="5026"/>
            <w:tcMar>
              <w:top w:w="55" w:type="dxa"/>
              <w:start w:w="50" w:type="dxa"/>
              <w:bottom w:w="55" w:type="dxa"/>
              <w:end w:w="50" w:type="dxa"/>
            </w:tcMar>
          </w:tcPr>
          <w:p>
            <w:r>
              <w:t>13. Rādhikāṣṭottara-śata-nāma-stotram</w:t>
            </w:r>
          </w:p>
        </w:tc>
        <w:tc>
          <w:tcPr>
            <w:tcW w:type="dxa" w:w="5026"/>
            <w:tcMar>
              <w:top w:w="55" w:type="dxa"/>
              <w:start w:w="50" w:type="dxa"/>
              <w:bottom w:w="55" w:type="dxa"/>
              <w:end w:w="50" w:type="dxa"/>
            </w:tcMar>
          </w:tcPr>
          <w:p>
            <w:r>
              <w:t>28. Dāna-nivartana-kuṇḍāṣṭakam</w:t>
            </w:r>
          </w:p>
        </w:tc>
      </w:tr>
      <w:tr>
        <w:trPr>
          <w:cantSplit/>
        </w:trPr>
        <w:tc>
          <w:tcPr>
            <w:tcW w:type="dxa" w:w="5026"/>
            <w:tcMar>
              <w:top w:w="55" w:type="dxa"/>
              <w:start w:w="50" w:type="dxa"/>
              <w:bottom w:w="55" w:type="dxa"/>
              <w:end w:w="50" w:type="dxa"/>
            </w:tcMar>
          </w:tcPr>
          <w:p>
            <w:r>
              <w:t>14. Premāmbhoja-marandākhya-stava-rājam</w:t>
            </w:r>
          </w:p>
        </w:tc>
        <w:tc>
          <w:tcPr>
            <w:tcW w:type="dxa" w:w="5026"/>
            <w:tcMar>
              <w:top w:w="55" w:type="dxa"/>
              <w:start w:w="50" w:type="dxa"/>
              <w:bottom w:w="55" w:type="dxa"/>
              <w:end w:w="50" w:type="dxa"/>
            </w:tcMar>
          </w:tcPr>
          <w:p>
            <w:r>
              <w:t>29. Prārthanāśraya-caturdaśakam</w:t>
            </w:r>
          </w:p>
        </w:tc>
      </w:tr>
      <w:tr>
        <w:trPr>
          <w:cantSplit/>
        </w:trPr>
        <w:tc>
          <w:tcPr>
            <w:tcW w:type="dxa" w:w="5026"/>
            <w:tcMar>
              <w:top w:w="55" w:type="dxa"/>
              <w:start w:w="50" w:type="dxa"/>
              <w:bottom w:w="55" w:type="dxa"/>
              <w:end w:w="50" w:type="dxa"/>
            </w:tcMar>
          </w:tcPr>
          <w:p>
            <w:r>
              <w:t>15. Sva-saṅkalpa-prakāśa-stotram</w:t>
            </w:r>
          </w:p>
        </w:tc>
        <w:tc>
          <w:tcPr>
            <w:tcW w:type="dxa" w:w="5026"/>
            <w:tcMar>
              <w:top w:w="55" w:type="dxa"/>
              <w:start w:w="50" w:type="dxa"/>
              <w:bottom w:w="55" w:type="dxa"/>
              <w:end w:w="50" w:type="dxa"/>
            </w:tcMar>
          </w:tcPr>
          <w:p>
            <w:r>
              <w:t>30. Abhīṣṭa-sūcanam</w:t>
            </w:r>
          </w:p>
        </w:tc>
      </w:tr>
    </w:tbl>
    <w:p/>
    <w:p>
      <w:pPr>
        <w:pStyle w:val="Heading1"/>
        <w:spacing w:after="100"/>
      </w:pPr>
      <w:r>
        <w:rPr>
          <w:b w:val="0"/>
          <w:i w:val="0"/>
        </w:rPr>
        <w:t>3. Muktā-carita</w:t>
      </w:r>
    </w:p>
    <w:p>
      <w:pPr>
        <w:spacing w:after="100"/>
      </w:pPr>
      <w:r>
        <w:rPr>
          <w:b w:val="0"/>
          <w:i w:val="0"/>
        </w:rPr>
        <w:t>Muktā-carita is an independent Sanskrit līlā-kāvya centered on the pearl pastime. Kṛṣṇa asks the gopīs for pearls, cultivates His own miraculous pearl crop, and draws Rādhā and Her companions into a playful contest of pride, bargaining and affection.</w:t>
      </w:r>
    </w:p>
    <w:p>
      <w:pPr>
        <w:spacing w:after="100"/>
      </w:pPr>
      <w:r>
        <w:rPr>
          <w:b w:val="0"/>
          <w:i w:val="0"/>
        </w:rPr>
        <w:t>The work matters biographically because it shows the breadth of Raghunātha’s imagination. The author of severe viraha-prayers was also capable of sustained humorous and dramatic līlā narrative.</w:t>
      </w:r>
    </w:p>
    <w:p>
      <w:pPr>
        <w:spacing w:after="100"/>
      </w:pPr>
      <w:r>
        <w:rPr>
          <w:b w:val="0"/>
          <w:i w:val="0"/>
        </w:rPr>
        <w:t>It also entered the pilgrimage tradition as interpretive geography: Bhakti-ratnākara has Rāghava Paṇḍita point out Mālyahāri-kuṇḍa and explicitly direct Śrīnivāsa to Raghunātha’s Muktā-carita for the pearl pastime.</w:t>
      </w:r>
    </w:p>
    <w:tbl>
      <w:tblPr>
        <w:tblStyle w:val="TableGrid"/>
        <w:tblW w:type="auto" w:w="0"/>
        <w:jc w:val="center"/>
        <w:tblLook w:firstColumn="1" w:firstRow="1" w:lastColumn="0" w:lastRow="0" w:noHBand="0" w:noVBand="1" w:val="04A0"/>
      </w:tblPr>
      <w:tblGrid>
        <w:gridCol w:w="5026"/>
        <w:gridCol w:w="5026"/>
      </w:tblGrid>
      <w:tr>
        <w:trPr>
          <w:cantSplit/>
          <w:tblHeader w:val="true"/>
        </w:trPr>
        <w:tc>
          <w:tcPr>
            <w:tcW w:type="dxa" w:w="5026"/>
            <w:shd w:fill="E9D8DD"/>
          </w:tcPr>
          <w:p>
            <w:r>
              <w:rPr>
                <w:b/>
              </w:rPr>
              <w:t>Bibliographic control</w:t>
            </w:r>
          </w:p>
        </w:tc>
        <w:tc>
          <w:tcPr>
            <w:tcW w:type="dxa" w:w="5026"/>
            <w:shd w:fill="E9D8DD"/>
          </w:tcPr>
          <w:p>
            <w:r>
              <w:rPr>
                <w:b/>
              </w:rPr>
              <w:t>Working note</w:t>
            </w:r>
          </w:p>
        </w:tc>
      </w:tr>
      <w:tr>
        <w:trPr>
          <w:cantSplit/>
        </w:trPr>
        <w:tc>
          <w:tcPr>
            <w:tcW w:type="dxa" w:w="5026"/>
            <w:tcMar>
              <w:top w:w="55" w:type="dxa"/>
              <w:start w:w="50" w:type="dxa"/>
              <w:bottom w:w="55" w:type="dxa"/>
              <w:end w:w="50" w:type="dxa"/>
            </w:tcMar>
          </w:tcPr>
          <w:p>
            <w:r>
              <w:t>Early attestation</w:t>
            </w:r>
          </w:p>
        </w:tc>
        <w:tc>
          <w:tcPr>
            <w:tcW w:type="dxa" w:w="5026"/>
            <w:tcMar>
              <w:top w:w="55" w:type="dxa"/>
              <w:start w:w="50" w:type="dxa"/>
              <w:bottom w:w="55" w:type="dxa"/>
              <w:end w:w="50" w:type="dxa"/>
            </w:tcMar>
          </w:tcPr>
          <w:p>
            <w:r>
              <w:t>Named in Bhakti-ratnākara’s three-work inventory.</w:t>
            </w:r>
          </w:p>
        </w:tc>
      </w:tr>
      <w:tr>
        <w:trPr>
          <w:cantSplit/>
        </w:trPr>
        <w:tc>
          <w:tcPr>
            <w:tcW w:type="dxa" w:w="5026"/>
            <w:tcMar>
              <w:top w:w="55" w:type="dxa"/>
              <w:start w:w="50" w:type="dxa"/>
              <w:bottom w:w="55" w:type="dxa"/>
              <w:end w:w="50" w:type="dxa"/>
            </w:tcMar>
          </w:tcPr>
          <w:p>
            <w:r>
              <w:t>Modern digital witness</w:t>
            </w:r>
          </w:p>
        </w:tc>
        <w:tc>
          <w:tcPr>
            <w:tcW w:type="dxa" w:w="5026"/>
            <w:tcMar>
              <w:top w:w="55" w:type="dxa"/>
              <w:start w:w="50" w:type="dxa"/>
              <w:bottom w:w="55" w:type="dxa"/>
              <w:end w:w="50" w:type="dxa"/>
            </w:tcMar>
          </w:tcPr>
          <w:p>
            <w:r>
              <w:t>Gaudiya Grantha Mandira catalogues Mukta-carita under Raghunātha dāsa Gosvāmī.</w:t>
            </w:r>
          </w:p>
        </w:tc>
      </w:tr>
      <w:tr>
        <w:trPr>
          <w:cantSplit/>
        </w:trPr>
        <w:tc>
          <w:tcPr>
            <w:tcW w:type="dxa" w:w="5026"/>
            <w:tcMar>
              <w:top w:w="55" w:type="dxa"/>
              <w:start w:w="50" w:type="dxa"/>
              <w:bottom w:w="55" w:type="dxa"/>
              <w:end w:w="50" w:type="dxa"/>
            </w:tcMar>
          </w:tcPr>
          <w:p>
            <w:r>
              <w:t>Edition base noted by GGM</w:t>
            </w:r>
          </w:p>
        </w:tc>
        <w:tc>
          <w:tcPr>
            <w:tcW w:type="dxa" w:w="5026"/>
            <w:tcMar>
              <w:top w:w="55" w:type="dxa"/>
              <w:start w:w="50" w:type="dxa"/>
              <w:bottom w:w="55" w:type="dxa"/>
              <w:end w:w="50" w:type="dxa"/>
            </w:tcMar>
          </w:tcPr>
          <w:p>
            <w:r>
              <w:t>Nitya Svarūpa Brahmacārī edition, Vṛndāvana, Devakīnandana Press, 1918; GGM notes a Bengali translation by Śacīnandana Gosvāmī.</w:t>
            </w:r>
          </w:p>
        </w:tc>
      </w:tr>
      <w:tr>
        <w:trPr>
          <w:cantSplit/>
        </w:trPr>
        <w:tc>
          <w:tcPr>
            <w:tcW w:type="dxa" w:w="5026"/>
            <w:tcMar>
              <w:top w:w="55" w:type="dxa"/>
              <w:start w:w="50" w:type="dxa"/>
              <w:bottom w:w="55" w:type="dxa"/>
              <w:end w:w="50" w:type="dxa"/>
            </w:tcMar>
          </w:tcPr>
          <w:p>
            <w:r>
              <w:t>Composition date</w:t>
            </w:r>
          </w:p>
        </w:tc>
        <w:tc>
          <w:tcPr>
            <w:tcW w:type="dxa" w:w="5026"/>
            <w:tcMar>
              <w:top w:w="55" w:type="dxa"/>
              <w:start w:w="50" w:type="dxa"/>
              <w:bottom w:w="55" w:type="dxa"/>
              <w:end w:w="50" w:type="dxa"/>
            </w:tcMar>
          </w:tcPr>
          <w:p>
            <w:r>
              <w:t>Unknown in the current cataloguing; do not assign a year without colophon/manuscript evidence.</w:t>
            </w:r>
          </w:p>
        </w:tc>
      </w:tr>
      <w:tr>
        <w:trPr>
          <w:cantSplit/>
        </w:trPr>
        <w:tc>
          <w:tcPr>
            <w:tcW w:type="dxa" w:w="5026"/>
            <w:tcMar>
              <w:top w:w="55" w:type="dxa"/>
              <w:start w:w="50" w:type="dxa"/>
              <w:bottom w:w="55" w:type="dxa"/>
              <w:end w:w="50" w:type="dxa"/>
            </w:tcMar>
          </w:tcPr>
          <w:p>
            <w:r>
              <w:t>Biography use</w:t>
            </w:r>
          </w:p>
        </w:tc>
        <w:tc>
          <w:tcPr>
            <w:tcW w:type="dxa" w:w="5026"/>
            <w:tcMar>
              <w:top w:w="55" w:type="dxa"/>
              <w:start w:w="50" w:type="dxa"/>
              <w:bottom w:w="55" w:type="dxa"/>
              <w:end w:w="50" w:type="dxa"/>
            </w:tcMar>
          </w:tcPr>
          <w:p>
            <w:r>
              <w:t>Literary range, playful līlā absorption, and text-guided Vraja geography.</w:t>
            </w:r>
          </w:p>
        </w:tc>
      </w:tr>
    </w:tbl>
    <w:p/>
    <w:p>
      <w:pPr>
        <w:pStyle w:val="Heading1"/>
        <w:spacing w:after="100"/>
      </w:pPr>
      <w:r>
        <w:rPr>
          <w:b w:val="0"/>
          <w:i w:val="0"/>
        </w:rPr>
        <w:t>4. Dāna-keli-cintāmaṇi</w:t>
      </w:r>
    </w:p>
    <w:p>
      <w:pPr>
        <w:spacing w:after="100"/>
      </w:pPr>
      <w:r>
        <w:rPr>
          <w:b w:val="0"/>
          <w:i w:val="0"/>
        </w:rPr>
        <w:t>Dāna-keli-cintāmaṇi is the received independent work corresponding to the dāna-carita remembered in the early inventory. It develops the toll pastime at Govardhana through verbal contest, teasing, resistance, social roles and erotic-comic līlā.</w:t>
      </w:r>
    </w:p>
    <w:p>
      <w:pPr>
        <w:spacing w:after="100"/>
      </w:pPr>
      <w:r>
        <w:rPr>
          <w:b w:val="0"/>
          <w:i w:val="0"/>
        </w:rPr>
        <w:t>The current Gaudiya Grantha Mandira catalogue describes the text as 175 verses in various metres. Its digital witness is based on Haridāsa Dāsa’s 1937 edition, with an Advaita Dāsa 1996 edition also used by the editor.</w:t>
      </w:r>
    </w:p>
    <w:p>
      <w:pPr>
        <w:spacing w:after="100"/>
      </w:pPr>
      <w:r>
        <w:rPr>
          <w:b w:val="0"/>
          <w:i w:val="0"/>
        </w:rPr>
        <w:t>This title should not be confused with Rūpa Gosvāmī’s Dāna-keli-kaumudī, a separate work on the same broad līlā theme.</w:t>
      </w:r>
    </w:p>
    <w:tbl>
      <w:tblPr>
        <w:tblStyle w:val="TableGrid"/>
        <w:tblW w:type="auto" w:w="0"/>
        <w:jc w:val="center"/>
        <w:tblLook w:firstColumn="1" w:firstRow="1" w:lastColumn="0" w:lastRow="0" w:noHBand="0" w:noVBand="1" w:val="04A0"/>
      </w:tblPr>
      <w:tblGrid>
        <w:gridCol w:w="5026"/>
        <w:gridCol w:w="5026"/>
      </w:tblGrid>
      <w:tr>
        <w:trPr>
          <w:cantSplit/>
          <w:tblHeader w:val="true"/>
        </w:trPr>
        <w:tc>
          <w:tcPr>
            <w:tcW w:type="dxa" w:w="5026"/>
            <w:shd w:fill="E9D8DD"/>
          </w:tcPr>
          <w:p>
            <w:r>
              <w:rPr>
                <w:b/>
              </w:rPr>
              <w:t>Bibliographic control</w:t>
            </w:r>
          </w:p>
        </w:tc>
        <w:tc>
          <w:tcPr>
            <w:tcW w:type="dxa" w:w="5026"/>
            <w:shd w:fill="E9D8DD"/>
          </w:tcPr>
          <w:p>
            <w:r>
              <w:rPr>
                <w:b/>
              </w:rPr>
              <w:t>Working note</w:t>
            </w:r>
          </w:p>
        </w:tc>
      </w:tr>
      <w:tr>
        <w:trPr>
          <w:cantSplit/>
        </w:trPr>
        <w:tc>
          <w:tcPr>
            <w:tcW w:type="dxa" w:w="5026"/>
            <w:tcMar>
              <w:top w:w="55" w:type="dxa"/>
              <w:start w:w="50" w:type="dxa"/>
              <w:bottom w:w="55" w:type="dxa"/>
              <w:end w:w="50" w:type="dxa"/>
            </w:tcMar>
          </w:tcPr>
          <w:p>
            <w:r>
              <w:t>Early attestation</w:t>
            </w:r>
          </w:p>
        </w:tc>
        <w:tc>
          <w:tcPr>
            <w:tcW w:type="dxa" w:w="5026"/>
            <w:tcMar>
              <w:top w:w="55" w:type="dxa"/>
              <w:start w:w="50" w:type="dxa"/>
              <w:bottom w:w="55" w:type="dxa"/>
              <w:end w:w="50" w:type="dxa"/>
            </w:tcMar>
          </w:tcPr>
          <w:p>
            <w:r>
              <w:t>Bhakti-ratnākara remembers a dāna-carita among Raghunātha’s three principal works.</w:t>
            </w:r>
          </w:p>
        </w:tc>
      </w:tr>
      <w:tr>
        <w:trPr>
          <w:cantSplit/>
        </w:trPr>
        <w:tc>
          <w:tcPr>
            <w:tcW w:type="dxa" w:w="5026"/>
            <w:tcMar>
              <w:top w:w="55" w:type="dxa"/>
              <w:start w:w="50" w:type="dxa"/>
              <w:bottom w:w="55" w:type="dxa"/>
              <w:end w:w="50" w:type="dxa"/>
            </w:tcMar>
          </w:tcPr>
          <w:p>
            <w:r>
              <w:t>Received title</w:t>
            </w:r>
          </w:p>
        </w:tc>
        <w:tc>
          <w:tcPr>
            <w:tcW w:type="dxa" w:w="5026"/>
            <w:tcMar>
              <w:top w:w="55" w:type="dxa"/>
              <w:start w:w="50" w:type="dxa"/>
              <w:bottom w:w="55" w:type="dxa"/>
              <w:end w:w="50" w:type="dxa"/>
            </w:tcMar>
          </w:tcPr>
          <w:p>
            <w:r>
              <w:t>Dāna-keli-cintāmaṇi.</w:t>
            </w:r>
          </w:p>
        </w:tc>
      </w:tr>
      <w:tr>
        <w:trPr>
          <w:cantSplit/>
        </w:trPr>
        <w:tc>
          <w:tcPr>
            <w:tcW w:type="dxa" w:w="5026"/>
            <w:tcMar>
              <w:top w:w="55" w:type="dxa"/>
              <w:start w:w="50" w:type="dxa"/>
              <w:bottom w:w="55" w:type="dxa"/>
              <w:end w:w="50" w:type="dxa"/>
            </w:tcMar>
          </w:tcPr>
          <w:p>
            <w:r>
              <w:t>Modern catalogue</w:t>
            </w:r>
          </w:p>
        </w:tc>
        <w:tc>
          <w:tcPr>
            <w:tcW w:type="dxa" w:w="5026"/>
            <w:tcMar>
              <w:top w:w="55" w:type="dxa"/>
              <w:start w:w="50" w:type="dxa"/>
              <w:bottom w:w="55" w:type="dxa"/>
              <w:end w:w="50" w:type="dxa"/>
            </w:tcMar>
          </w:tcPr>
          <w:p>
            <w:r>
              <w:t>Gaudiya Grantha Mandira attributes it to Raghunātha dāsa Gosvāmī and describes 175 verses in various metres.</w:t>
            </w:r>
          </w:p>
        </w:tc>
      </w:tr>
      <w:tr>
        <w:trPr>
          <w:cantSplit/>
        </w:trPr>
        <w:tc>
          <w:tcPr>
            <w:tcW w:type="dxa" w:w="5026"/>
            <w:tcMar>
              <w:top w:w="55" w:type="dxa"/>
              <w:start w:w="50" w:type="dxa"/>
              <w:bottom w:w="55" w:type="dxa"/>
              <w:end w:w="50" w:type="dxa"/>
            </w:tcMar>
          </w:tcPr>
          <w:p>
            <w:r>
              <w:t>Edition base noted by GGM</w:t>
            </w:r>
          </w:p>
        </w:tc>
        <w:tc>
          <w:tcPr>
            <w:tcW w:type="dxa" w:w="5026"/>
            <w:tcMar>
              <w:top w:w="55" w:type="dxa"/>
              <w:start w:w="50" w:type="dxa"/>
              <w:bottom w:w="55" w:type="dxa"/>
              <w:end w:w="50" w:type="dxa"/>
            </w:tcMar>
          </w:tcPr>
          <w:p>
            <w:r>
              <w:t>Haridāsa Dāsa, Nabadwip: Haribol Kutir, 1937; editor also used Advaita Dāsa’s 1996 edition.</w:t>
            </w:r>
          </w:p>
        </w:tc>
      </w:tr>
      <w:tr>
        <w:trPr>
          <w:cantSplit/>
        </w:trPr>
        <w:tc>
          <w:tcPr>
            <w:tcW w:type="dxa" w:w="5026"/>
            <w:tcMar>
              <w:top w:w="55" w:type="dxa"/>
              <w:start w:w="50" w:type="dxa"/>
              <w:bottom w:w="55" w:type="dxa"/>
              <w:end w:w="50" w:type="dxa"/>
            </w:tcMar>
          </w:tcPr>
          <w:p>
            <w:r>
              <w:t>Composition date</w:t>
            </w:r>
          </w:p>
        </w:tc>
        <w:tc>
          <w:tcPr>
            <w:tcW w:type="dxa" w:w="5026"/>
            <w:tcMar>
              <w:top w:w="55" w:type="dxa"/>
              <w:start w:w="50" w:type="dxa"/>
              <w:bottom w:w="55" w:type="dxa"/>
              <w:end w:w="50" w:type="dxa"/>
            </w:tcMar>
          </w:tcPr>
          <w:p>
            <w:r>
              <w:t>Unknown in the current catalogue.</w:t>
            </w:r>
          </w:p>
        </w:tc>
      </w:tr>
      <w:tr>
        <w:trPr>
          <w:cantSplit/>
        </w:trPr>
        <w:tc>
          <w:tcPr>
            <w:tcW w:type="dxa" w:w="5026"/>
            <w:tcMar>
              <w:top w:w="55" w:type="dxa"/>
              <w:start w:w="50" w:type="dxa"/>
              <w:bottom w:w="55" w:type="dxa"/>
              <w:end w:w="50" w:type="dxa"/>
            </w:tcMar>
          </w:tcPr>
          <w:p>
            <w:r>
              <w:t>Do not confuse with</w:t>
            </w:r>
          </w:p>
        </w:tc>
        <w:tc>
          <w:tcPr>
            <w:tcW w:type="dxa" w:w="5026"/>
            <w:tcMar>
              <w:top w:w="55" w:type="dxa"/>
              <w:start w:w="50" w:type="dxa"/>
              <w:bottom w:w="55" w:type="dxa"/>
              <w:end w:w="50" w:type="dxa"/>
            </w:tcMar>
          </w:tcPr>
          <w:p>
            <w:r>
              <w:t>Rūpa Gosvāmī’s Dāna-keli-kaumudī.</w:t>
            </w:r>
          </w:p>
        </w:tc>
      </w:tr>
      <w:tr>
        <w:trPr>
          <w:cantSplit/>
        </w:trPr>
        <w:tc>
          <w:tcPr>
            <w:tcW w:type="dxa" w:w="5026"/>
            <w:tcMar>
              <w:top w:w="55" w:type="dxa"/>
              <w:start w:w="50" w:type="dxa"/>
              <w:bottom w:w="55" w:type="dxa"/>
              <w:end w:w="50" w:type="dxa"/>
            </w:tcMar>
          </w:tcPr>
          <w:p>
            <w:r>
              <w:t>Biography use</w:t>
            </w:r>
          </w:p>
        </w:tc>
        <w:tc>
          <w:tcPr>
            <w:tcW w:type="dxa" w:w="5026"/>
            <w:tcMar>
              <w:top w:w="55" w:type="dxa"/>
              <w:start w:w="50" w:type="dxa"/>
              <w:bottom w:w="55" w:type="dxa"/>
              <w:end w:w="50" w:type="dxa"/>
            </w:tcMar>
          </w:tcPr>
          <w:p>
            <w:r>
              <w:t>Evidence that Raghunātha’s literary world included humor, dramatic dialogue and līlā-play alongside viraha.</w:t>
            </w:r>
          </w:p>
        </w:tc>
      </w:tr>
    </w:tbl>
    <w:p/>
    <w:p>
      <w:pPr>
        <w:pStyle w:val="Heading1"/>
        <w:spacing w:after="100"/>
      </w:pPr>
      <w:r>
        <w:rPr>
          <w:b w:val="0"/>
          <w:i w:val="0"/>
        </w:rPr>
        <w:t>5. What the corpus tells us about Raghunātha</w:t>
      </w:r>
    </w:p>
    <w:tbl>
      <w:tblPr>
        <w:tblStyle w:val="TableGrid"/>
        <w:tblW w:type="auto" w:w="0"/>
        <w:jc w:val="center"/>
        <w:tblLook w:firstColumn="1" w:firstRow="1" w:lastColumn="0" w:lastRow="0" w:noHBand="0" w:noVBand="1" w:val="04A0"/>
      </w:tblPr>
      <w:tblGrid>
        <w:gridCol w:w="3351"/>
        <w:gridCol w:w="3351"/>
        <w:gridCol w:w="3351"/>
      </w:tblGrid>
      <w:tr>
        <w:trPr>
          <w:cantSplit/>
          <w:tblHeader w:val="true"/>
        </w:trPr>
        <w:tc>
          <w:tcPr>
            <w:tcW w:type="dxa" w:w="3351"/>
            <w:shd w:fill="E9D8DD"/>
          </w:tcPr>
          <w:p>
            <w:r>
              <w:rPr>
                <w:b/>
              </w:rPr>
              <w:t>Axis</w:t>
            </w:r>
          </w:p>
        </w:tc>
        <w:tc>
          <w:tcPr>
            <w:tcW w:type="dxa" w:w="3351"/>
            <w:shd w:fill="E9D8DD"/>
          </w:tcPr>
          <w:p>
            <w:r>
              <w:rPr>
                <w:b/>
              </w:rPr>
              <w:t>Principal texts</w:t>
            </w:r>
          </w:p>
        </w:tc>
        <w:tc>
          <w:tcPr>
            <w:tcW w:type="dxa" w:w="3351"/>
            <w:shd w:fill="E9D8DD"/>
          </w:tcPr>
          <w:p>
            <w:r>
              <w:rPr>
                <w:b/>
              </w:rPr>
              <w:t>Biographical conclusion</w:t>
            </w:r>
          </w:p>
        </w:tc>
      </w:tr>
      <w:tr>
        <w:trPr>
          <w:cantSplit/>
        </w:trPr>
        <w:tc>
          <w:tcPr>
            <w:tcW w:type="dxa" w:w="3351"/>
            <w:tcMar>
              <w:top w:w="55" w:type="dxa"/>
              <w:start w:w="50" w:type="dxa"/>
              <w:bottom w:w="55" w:type="dxa"/>
              <w:end w:w="50" w:type="dxa"/>
            </w:tcMar>
          </w:tcPr>
          <w:p>
            <w:r>
              <w:t>Gaurāṅga</w:t>
            </w:r>
          </w:p>
        </w:tc>
        <w:tc>
          <w:tcPr>
            <w:tcW w:type="dxa" w:w="3351"/>
            <w:tcMar>
              <w:top w:w="55" w:type="dxa"/>
              <w:start w:w="50" w:type="dxa"/>
              <w:bottom w:w="55" w:type="dxa"/>
              <w:end w:w="50" w:type="dxa"/>
            </w:tcMar>
          </w:tcPr>
          <w:p>
            <w:r>
              <w:t>Gaurāṅga-stava-kalpavṛkṣa, Śacī-sūnv-aṣṭaka</w:t>
            </w:r>
          </w:p>
        </w:tc>
        <w:tc>
          <w:tcPr>
            <w:tcW w:type="dxa" w:w="3351"/>
            <w:tcMar>
              <w:top w:w="55" w:type="dxa"/>
              <w:start w:w="50" w:type="dxa"/>
              <w:bottom w:w="55" w:type="dxa"/>
              <w:end w:w="50" w:type="dxa"/>
            </w:tcMar>
          </w:tcPr>
          <w:p>
            <w:r>
              <w:t>His Vraja life never becomes post-Caitanya; Mahāprabhu remains the giver of his whole path.</w:t>
            </w:r>
          </w:p>
        </w:tc>
      </w:tr>
      <w:tr>
        <w:trPr>
          <w:cantSplit/>
        </w:trPr>
        <w:tc>
          <w:tcPr>
            <w:tcW w:type="dxa" w:w="3351"/>
            <w:tcMar>
              <w:top w:w="55" w:type="dxa"/>
              <w:start w:w="50" w:type="dxa"/>
              <w:bottom w:w="55" w:type="dxa"/>
              <w:end w:w="50" w:type="dxa"/>
            </w:tcMar>
          </w:tcPr>
          <w:p>
            <w:r>
              <w:t>Svarūpa / Rūpa / Sanātana</w:t>
            </w:r>
          </w:p>
        </w:tc>
        <w:tc>
          <w:tcPr>
            <w:tcW w:type="dxa" w:w="3351"/>
            <w:tcMar>
              <w:top w:w="55" w:type="dxa"/>
              <w:start w:w="50" w:type="dxa"/>
              <w:bottom w:w="55" w:type="dxa"/>
              <w:end w:w="50" w:type="dxa"/>
            </w:tcMar>
          </w:tcPr>
          <w:p>
            <w:r>
              <w:t>Manaḥ-śikṣā, Gaurāṅga-stava-kalpavṛkṣa, Sva-niyama-daśaka</w:t>
            </w:r>
          </w:p>
        </w:tc>
        <w:tc>
          <w:tcPr>
            <w:tcW w:type="dxa" w:w="3351"/>
            <w:tcMar>
              <w:top w:w="55" w:type="dxa"/>
              <w:start w:w="50" w:type="dxa"/>
              <w:bottom w:w="55" w:type="dxa"/>
              <w:end w:w="50" w:type="dxa"/>
            </w:tcMar>
          </w:tcPr>
          <w:p>
            <w:r>
              <w:t>The inner path is relational and lineage-shaped, not spiritually individualistic.</w:t>
            </w:r>
          </w:p>
        </w:tc>
      </w:tr>
      <w:tr>
        <w:trPr>
          <w:cantSplit/>
        </w:trPr>
        <w:tc>
          <w:tcPr>
            <w:tcW w:type="dxa" w:w="3351"/>
            <w:tcMar>
              <w:top w:w="55" w:type="dxa"/>
              <w:start w:w="50" w:type="dxa"/>
              <w:bottom w:w="55" w:type="dxa"/>
              <w:end w:w="50" w:type="dxa"/>
            </w:tcMar>
          </w:tcPr>
          <w:p>
            <w:r>
              <w:t>Govardhana</w:t>
            </w:r>
          </w:p>
        </w:tc>
        <w:tc>
          <w:tcPr>
            <w:tcW w:type="dxa" w:w="3351"/>
            <w:tcMar>
              <w:top w:w="55" w:type="dxa"/>
              <w:start w:w="50" w:type="dxa"/>
              <w:bottom w:w="55" w:type="dxa"/>
              <w:end w:w="50" w:type="dxa"/>
            </w:tcMar>
          </w:tcPr>
          <w:p>
            <w:r>
              <w:t>Govardhanāśraya-daśaka, Govardhana-vāsa-prārthanā-daśaka</w:t>
            </w:r>
          </w:p>
        </w:tc>
        <w:tc>
          <w:tcPr>
            <w:tcW w:type="dxa" w:w="3351"/>
            <w:tcMar>
              <w:top w:w="55" w:type="dxa"/>
              <w:start w:w="50" w:type="dxa"/>
              <w:bottom w:w="55" w:type="dxa"/>
              <w:end w:w="50" w:type="dxa"/>
            </w:tcMar>
          </w:tcPr>
          <w:p>
            <w:r>
              <w:t>Girirāja is refuge, residence and līlā environment.</w:t>
            </w:r>
          </w:p>
        </w:tc>
      </w:tr>
      <w:tr>
        <w:trPr>
          <w:cantSplit/>
        </w:trPr>
        <w:tc>
          <w:tcPr>
            <w:tcW w:type="dxa" w:w="3351"/>
            <w:tcMar>
              <w:top w:w="55" w:type="dxa"/>
              <w:start w:w="50" w:type="dxa"/>
              <w:bottom w:w="55" w:type="dxa"/>
              <w:end w:w="50" w:type="dxa"/>
            </w:tcMar>
          </w:tcPr>
          <w:p>
            <w:r>
              <w:t>Rādhā-kuṇḍa</w:t>
            </w:r>
          </w:p>
        </w:tc>
        <w:tc>
          <w:tcPr>
            <w:tcW w:type="dxa" w:w="3351"/>
            <w:tcMar>
              <w:top w:w="55" w:type="dxa"/>
              <w:start w:w="50" w:type="dxa"/>
              <w:bottom w:w="55" w:type="dxa"/>
              <w:end w:w="50" w:type="dxa"/>
            </w:tcMar>
          </w:tcPr>
          <w:p>
            <w:r>
              <w:t>Rādhā-kuṇḍāṣṭaka, Vilāpa-kusumāñjali 97, Vraja-vilāsa-stava</w:t>
            </w:r>
          </w:p>
        </w:tc>
        <w:tc>
          <w:tcPr>
            <w:tcW w:type="dxa" w:w="3351"/>
            <w:tcMar>
              <w:top w:w="55" w:type="dxa"/>
              <w:start w:w="50" w:type="dxa"/>
              <w:bottom w:w="55" w:type="dxa"/>
              <w:end w:w="50" w:type="dxa"/>
            </w:tcMar>
          </w:tcPr>
          <w:p>
            <w:r>
              <w:t>The kuṇḍa is shelter, residence and service-world.</w:t>
            </w:r>
          </w:p>
        </w:tc>
      </w:tr>
      <w:tr>
        <w:trPr>
          <w:cantSplit/>
        </w:trPr>
        <w:tc>
          <w:tcPr>
            <w:tcW w:type="dxa" w:w="3351"/>
            <w:tcMar>
              <w:top w:w="55" w:type="dxa"/>
              <w:start w:w="50" w:type="dxa"/>
              <w:bottom w:w="55" w:type="dxa"/>
              <w:end w:w="50" w:type="dxa"/>
            </w:tcMar>
          </w:tcPr>
          <w:p>
            <w:r>
              <w:t>Rādhā-dāsya</w:t>
            </w:r>
          </w:p>
        </w:tc>
        <w:tc>
          <w:tcPr>
            <w:tcW w:type="dxa" w:w="3351"/>
            <w:tcMar>
              <w:top w:w="55" w:type="dxa"/>
              <w:start w:w="50" w:type="dxa"/>
              <w:bottom w:w="55" w:type="dxa"/>
              <w:end w:w="50" w:type="dxa"/>
            </w:tcMar>
          </w:tcPr>
          <w:p>
            <w:r>
              <w:t>Vilāpa-kusumāñjali, Rādhā-kuṇḍāṣṭaka 5, Rādhikā-centered stotras</w:t>
            </w:r>
          </w:p>
        </w:tc>
        <w:tc>
          <w:tcPr>
            <w:tcW w:type="dxa" w:w="3351"/>
            <w:tcMar>
              <w:top w:w="55" w:type="dxa"/>
              <w:start w:w="50" w:type="dxa"/>
              <w:bottom w:w="55" w:type="dxa"/>
              <w:end w:w="50" w:type="dxa"/>
            </w:tcMar>
          </w:tcPr>
          <w:p>
            <w:r>
              <w:t>The positive center behind his vairāgya.</w:t>
            </w:r>
          </w:p>
        </w:tc>
      </w:tr>
      <w:tr>
        <w:trPr>
          <w:cantSplit/>
        </w:trPr>
        <w:tc>
          <w:tcPr>
            <w:tcW w:type="dxa" w:w="3351"/>
            <w:tcMar>
              <w:top w:w="55" w:type="dxa"/>
              <w:start w:w="50" w:type="dxa"/>
              <w:bottom w:w="55" w:type="dxa"/>
              <w:end w:w="50" w:type="dxa"/>
            </w:tcMar>
          </w:tcPr>
          <w:p>
            <w:r>
              <w:t>Viraha</w:t>
            </w:r>
          </w:p>
        </w:tc>
        <w:tc>
          <w:tcPr>
            <w:tcW w:type="dxa" w:w="3351"/>
            <w:tcMar>
              <w:top w:w="55" w:type="dxa"/>
              <w:start w:w="50" w:type="dxa"/>
              <w:bottom w:w="55" w:type="dxa"/>
              <w:end w:w="50" w:type="dxa"/>
            </w:tcMar>
          </w:tcPr>
          <w:p>
            <w:r>
              <w:t>Vilāpa-kusumāñjali, Utkaṇṭhā-daśaka, Prārthanā texts</w:t>
            </w:r>
          </w:p>
        </w:tc>
        <w:tc>
          <w:tcPr>
            <w:tcW w:type="dxa" w:w="3351"/>
            <w:tcMar>
              <w:top w:w="55" w:type="dxa"/>
              <w:start w:w="50" w:type="dxa"/>
              <w:bottom w:w="55" w:type="dxa"/>
              <w:end w:w="50" w:type="dxa"/>
            </w:tcMar>
          </w:tcPr>
          <w:p>
            <w:r>
              <w:t>Longing is a theological and poetic mode; do not flatten it into modern psychological autobiography.</w:t>
            </w:r>
          </w:p>
        </w:tc>
      </w:tr>
      <w:tr>
        <w:trPr>
          <w:cantSplit/>
        </w:trPr>
        <w:tc>
          <w:tcPr>
            <w:tcW w:type="dxa" w:w="3351"/>
            <w:tcMar>
              <w:top w:w="55" w:type="dxa"/>
              <w:start w:w="50" w:type="dxa"/>
              <w:bottom w:w="55" w:type="dxa"/>
              <w:end w:w="50" w:type="dxa"/>
            </w:tcMar>
          </w:tcPr>
          <w:p>
            <w:r>
              <w:t>Līlā-play</w:t>
            </w:r>
          </w:p>
        </w:tc>
        <w:tc>
          <w:tcPr>
            <w:tcW w:type="dxa" w:w="3351"/>
            <w:tcMar>
              <w:top w:w="55" w:type="dxa"/>
              <w:start w:w="50" w:type="dxa"/>
              <w:bottom w:w="55" w:type="dxa"/>
              <w:end w:w="50" w:type="dxa"/>
            </w:tcMar>
          </w:tcPr>
          <w:p>
            <w:r>
              <w:t>Muktā-carita, Dāna-keli-cintāmaṇi, Dāna-nivartana-kuṇḍāṣṭaka</w:t>
            </w:r>
          </w:p>
        </w:tc>
        <w:tc>
          <w:tcPr>
            <w:tcW w:type="dxa" w:w="3351"/>
            <w:tcMar>
              <w:top w:w="55" w:type="dxa"/>
              <w:start w:w="50" w:type="dxa"/>
              <w:bottom w:w="55" w:type="dxa"/>
              <w:end w:w="50" w:type="dxa"/>
            </w:tcMar>
          </w:tcPr>
          <w:p>
            <w:r>
              <w:t>Raghunātha is also a poet of wit, dialogue, contest and sacred play.</w:t>
            </w:r>
          </w:p>
        </w:tc>
      </w:tr>
      <w:tr>
        <w:trPr>
          <w:cantSplit/>
        </w:trPr>
        <w:tc>
          <w:tcPr>
            <w:tcW w:type="dxa" w:w="3351"/>
            <w:tcMar>
              <w:top w:w="55" w:type="dxa"/>
              <w:start w:w="50" w:type="dxa"/>
              <w:bottom w:w="55" w:type="dxa"/>
              <w:end w:w="50" w:type="dxa"/>
            </w:tcMar>
          </w:tcPr>
          <w:p>
            <w:r>
              <w:t>Vraja as lived text</w:t>
            </w:r>
          </w:p>
        </w:tc>
        <w:tc>
          <w:tcPr>
            <w:tcW w:type="dxa" w:w="3351"/>
            <w:tcMar>
              <w:top w:w="55" w:type="dxa"/>
              <w:start w:w="50" w:type="dxa"/>
              <w:bottom w:w="55" w:type="dxa"/>
              <w:end w:w="50" w:type="dxa"/>
            </w:tcMar>
          </w:tcPr>
          <w:p>
            <w:r>
              <w:t>Vraja-vilāsa-stava, Muktā-carita, place-stotras</w:t>
            </w:r>
          </w:p>
        </w:tc>
        <w:tc>
          <w:tcPr>
            <w:tcW w:type="dxa" w:w="3351"/>
            <w:tcMar>
              <w:top w:w="55" w:type="dxa"/>
              <w:start w:w="50" w:type="dxa"/>
              <w:bottom w:w="55" w:type="dxa"/>
              <w:end w:w="50" w:type="dxa"/>
            </w:tcMar>
          </w:tcPr>
          <w:p>
            <w:r>
              <w:t>His literature becomes a way later pilgrims interpret actual Vraja places.</w:t>
            </w:r>
          </w:p>
        </w:tc>
      </w:tr>
    </w:tbl>
    <w:p/>
    <w:p>
      <w:pPr>
        <w:pStyle w:val="Heading1"/>
        <w:spacing w:after="100"/>
      </w:pPr>
      <w:r>
        <w:rPr>
          <w:b w:val="0"/>
          <w:i w:val="0"/>
        </w:rPr>
        <w:t>6. Title and provenance controls</w:t>
      </w:r>
    </w:p>
    <w:p/>
    <w:p>
      <w:r>
        <w:t>• Title witness note: Caitanya-caritāmṛta Antya 6.326–327 names the poem Gaurāṅga-stava-kalpavṛkṣa, while current Grantha Mandira cataloguing/colophons use kalpa-taru/kalpa-druma. Preserve these as witness/title variants; this edition retains kalpavṛkṣa where the Caitanya-caritāmṛta title is being cited.</w:t>
      </w:r>
    </w:p>
    <w:p>
      <w:pPr>
        <w:spacing w:after="80"/>
        <w:ind w:left="259" w:hanging="173"/>
      </w:pPr>
      <w:r>
        <w:rPr>
          <w:b/>
        </w:rPr>
        <w:t xml:space="preserve">• </w:t>
      </w:r>
      <w:r>
        <w:t>Cite the collection as Stavāvalī. When discussing Bhakti-ratnākara’s inventory, note that it uses stava-mālā language and explicitly equates the collection with Stavāvalī.</w:t>
      </w:r>
    </w:p>
    <w:p>
      <w:pPr>
        <w:spacing w:after="80"/>
        <w:ind w:left="259" w:hanging="173"/>
      </w:pPr>
      <w:r>
        <w:rPr>
          <w:b/>
        </w:rPr>
        <w:t xml:space="preserve">• </w:t>
      </w:r>
      <w:r>
        <w:t>Do not confuse Raghunātha’s Stavāvalī with Rūpa Gosvāmī’s separate Stava-mālā.</w:t>
      </w:r>
    </w:p>
    <w:p>
      <w:pPr>
        <w:spacing w:after="80"/>
        <w:ind w:left="259" w:hanging="173"/>
      </w:pPr>
      <w:r>
        <w:rPr>
          <w:b/>
        </w:rPr>
        <w:t xml:space="preserve">• </w:t>
      </w:r>
      <w:r>
        <w:t>Do not promote the corrupt/uncertain electronic reading nāma-carita into a fourth independent work; the controlled early inventory is three works: Stavāvalī, dāna-carita and Muktā-carita.</w:t>
      </w:r>
    </w:p>
    <w:p>
      <w:pPr>
        <w:spacing w:after="80"/>
        <w:ind w:left="259" w:hanging="173"/>
      </w:pPr>
      <w:r>
        <w:rPr>
          <w:b/>
        </w:rPr>
        <w:t xml:space="preserve">• </w:t>
      </w:r>
      <w:r>
        <w:t>Use Dāna-keli-cintāmaṇi as the received independent title, while preserving the early dāna-carita wording in source-critical notes.</w:t>
      </w:r>
    </w:p>
    <w:p>
      <w:pPr>
        <w:spacing w:after="80"/>
        <w:ind w:left="259" w:hanging="173"/>
      </w:pPr>
      <w:r>
        <w:rPr>
          <w:b/>
        </w:rPr>
        <w:t xml:space="preserve">• </w:t>
      </w:r>
      <w:r>
        <w:t>Do not confuse Dāna-keli-cintāmaṇi with Rūpa Gosvāmī’s Dāna-keli-kaumudī.</w:t>
      </w:r>
    </w:p>
    <w:p>
      <w:pPr>
        <w:spacing w:after="80"/>
        <w:ind w:left="259" w:hanging="173"/>
      </w:pPr>
      <w:r>
        <w:rPr>
          <w:b/>
        </w:rPr>
        <w:t xml:space="preserve">• </w:t>
      </w:r>
      <w:r>
        <w:t>Do not assign composition dates to Stavāvalī, Muktā-carita or Dāna-keli-cintāmaṇi unless a secure manuscript colophon or dated external witness is recovered.</w:t>
      </w:r>
    </w:p>
    <w:p>
      <w:pPr>
        <w:spacing w:after="80"/>
        <w:ind w:left="259" w:hanging="173"/>
      </w:pPr>
      <w:r>
        <w:rPr>
          <w:b/>
        </w:rPr>
        <w:t xml:space="preserve">• </w:t>
      </w:r>
      <w:r>
        <w:t>A poem contained in Stavāvalī may have circulated independently, but the present appendix does not assume a separate transmission history for every constituent hymn.</w:t>
      </w:r>
    </w:p>
    <w:p>
      <w:pPr>
        <w:spacing w:after="80"/>
        <w:ind w:left="259" w:hanging="173"/>
      </w:pPr>
      <w:r>
        <w:rPr>
          <w:b/>
        </w:rPr>
        <w:t xml:space="preserve">• </w:t>
      </w:r>
      <w:r>
        <w:t>Modern digital repositories are navigation/edition witnesses, not substitutes for manuscript stemmatics. Final publication should identify the exact printed or manuscript witness used for every quoted Sanskrit passage.</w:t>
      </w:r>
    </w:p>
    <w:p>
      <w:r>
        <w:t>• Catalogue variant: Dāna-nivartana-kuṇḍāṣṭakam also appears as Dāna-nirvartana-kuṇḍāṣṭakam in editorial/catalogue material. Record the variation rather than silently harmonizing it.</w:t>
      </w:r>
    </w:p>
    <w:p>
      <w:pPr>
        <w:pStyle w:val="Heading1"/>
        <w:spacing w:after="100"/>
      </w:pPr>
      <w:r>
        <w:rPr>
          <w:b w:val="0"/>
          <w:i w:val="0"/>
        </w:rPr>
        <w:t>7. Recommended reading order for this pilgrimage project</w:t>
      </w:r>
    </w:p>
    <w:tbl>
      <w:tblPr>
        <w:tblStyle w:val="TableGrid"/>
        <w:tblW w:type="auto" w:w="0"/>
        <w:jc w:val="center"/>
        <w:tblLook w:firstColumn="1" w:firstRow="1" w:lastColumn="0" w:lastRow="0" w:noHBand="0" w:noVBand="1" w:val="04A0"/>
      </w:tblPr>
      <w:tblGrid>
        <w:gridCol w:w="3351"/>
        <w:gridCol w:w="3351"/>
        <w:gridCol w:w="3351"/>
      </w:tblGrid>
      <w:tr>
        <w:trPr>
          <w:cantSplit/>
          <w:tblHeader w:val="true"/>
        </w:trPr>
        <w:tc>
          <w:tcPr>
            <w:tcW w:type="dxa" w:w="3351"/>
            <w:shd w:fill="E9D8DD"/>
          </w:tcPr>
          <w:p>
            <w:r>
              <w:rPr>
                <w:b/>
              </w:rPr>
              <w:t>Order</w:t>
            </w:r>
          </w:p>
        </w:tc>
        <w:tc>
          <w:tcPr>
            <w:tcW w:type="dxa" w:w="3351"/>
            <w:shd w:fill="E9D8DD"/>
          </w:tcPr>
          <w:p>
            <w:r>
              <w:rPr>
                <w:b/>
              </w:rPr>
              <w:t>Text</w:t>
            </w:r>
          </w:p>
        </w:tc>
        <w:tc>
          <w:tcPr>
            <w:tcW w:type="dxa" w:w="3351"/>
            <w:shd w:fill="E9D8DD"/>
          </w:tcPr>
          <w:p>
            <w:r>
              <w:rPr>
                <w:b/>
              </w:rPr>
              <w:t>Reason</w:t>
            </w:r>
          </w:p>
        </w:tc>
      </w:tr>
      <w:tr>
        <w:trPr>
          <w:cantSplit/>
        </w:trPr>
        <w:tc>
          <w:tcPr>
            <w:tcW w:type="dxa" w:w="3351"/>
            <w:tcMar>
              <w:top w:w="55" w:type="dxa"/>
              <w:start w:w="50" w:type="dxa"/>
              <w:bottom w:w="55" w:type="dxa"/>
              <w:end w:w="50" w:type="dxa"/>
            </w:tcMar>
          </w:tcPr>
          <w:p>
            <w:r>
              <w:t>First</w:t>
            </w:r>
          </w:p>
        </w:tc>
        <w:tc>
          <w:tcPr>
            <w:tcW w:type="dxa" w:w="3351"/>
            <w:tcMar>
              <w:top w:w="55" w:type="dxa"/>
              <w:start w:w="50" w:type="dxa"/>
              <w:bottom w:w="55" w:type="dxa"/>
              <w:end w:w="50" w:type="dxa"/>
            </w:tcMar>
          </w:tcPr>
          <w:p>
            <w:r>
              <w:t>Gaurāṅga-stava-kalpavṛkṣa</w:t>
            </w:r>
          </w:p>
        </w:tc>
        <w:tc>
          <w:tcPr>
            <w:tcW w:type="dxa" w:w="3351"/>
            <w:tcMar>
              <w:top w:w="55" w:type="dxa"/>
              <w:start w:w="50" w:type="dxa"/>
              <w:bottom w:w="55" w:type="dxa"/>
              <w:end w:w="50" w:type="dxa"/>
            </w:tcMar>
          </w:tcPr>
          <w:p>
            <w:r>
              <w:t>Connects the whole life back to Mahāprabhu and Svarūpa.</w:t>
            </w:r>
          </w:p>
        </w:tc>
      </w:tr>
      <w:tr>
        <w:trPr>
          <w:cantSplit/>
        </w:trPr>
        <w:tc>
          <w:tcPr>
            <w:tcW w:type="dxa" w:w="3351"/>
            <w:tcMar>
              <w:top w:w="55" w:type="dxa"/>
              <w:start w:w="50" w:type="dxa"/>
              <w:bottom w:w="55" w:type="dxa"/>
              <w:end w:w="50" w:type="dxa"/>
            </w:tcMar>
          </w:tcPr>
          <w:p>
            <w:r>
              <w:t>Second</w:t>
            </w:r>
          </w:p>
        </w:tc>
        <w:tc>
          <w:tcPr>
            <w:tcW w:type="dxa" w:w="3351"/>
            <w:tcMar>
              <w:top w:w="55" w:type="dxa"/>
              <w:start w:w="50" w:type="dxa"/>
              <w:bottom w:w="55" w:type="dxa"/>
              <w:end w:w="50" w:type="dxa"/>
            </w:tcMar>
          </w:tcPr>
          <w:p>
            <w:r>
              <w:t>Manaḥ-śikṣā</w:t>
            </w:r>
          </w:p>
        </w:tc>
        <w:tc>
          <w:tcPr>
            <w:tcW w:type="dxa" w:w="3351"/>
            <w:tcMar>
              <w:top w:w="55" w:type="dxa"/>
              <w:start w:w="50" w:type="dxa"/>
              <w:bottom w:w="55" w:type="dxa"/>
              <w:end w:w="50" w:type="dxa"/>
            </w:tcMar>
          </w:tcPr>
          <w:p>
            <w:r>
              <w:t>Shows the internal discipline and relational map of his sādhana.</w:t>
            </w:r>
          </w:p>
        </w:tc>
      </w:tr>
      <w:tr>
        <w:trPr>
          <w:cantSplit/>
        </w:trPr>
        <w:tc>
          <w:tcPr>
            <w:tcW w:type="dxa" w:w="3351"/>
            <w:tcMar>
              <w:top w:w="55" w:type="dxa"/>
              <w:start w:w="50" w:type="dxa"/>
              <w:bottom w:w="55" w:type="dxa"/>
              <w:end w:w="50" w:type="dxa"/>
            </w:tcMar>
          </w:tcPr>
          <w:p>
            <w:r>
              <w:t>Third</w:t>
            </w:r>
          </w:p>
        </w:tc>
        <w:tc>
          <w:tcPr>
            <w:tcW w:type="dxa" w:w="3351"/>
            <w:tcMar>
              <w:top w:w="55" w:type="dxa"/>
              <w:start w:w="50" w:type="dxa"/>
              <w:bottom w:w="55" w:type="dxa"/>
              <w:end w:w="50" w:type="dxa"/>
            </w:tcMar>
          </w:tcPr>
          <w:p>
            <w:r>
              <w:t>Govardhana-vāsa-prārthanā-daśaka</w:t>
            </w:r>
          </w:p>
        </w:tc>
        <w:tc>
          <w:tcPr>
            <w:tcW w:type="dxa" w:w="3351"/>
            <w:tcMar>
              <w:top w:w="55" w:type="dxa"/>
              <w:start w:w="50" w:type="dxa"/>
              <w:bottom w:w="55" w:type="dxa"/>
              <w:end w:w="50" w:type="dxa"/>
            </w:tcMar>
          </w:tcPr>
          <w:p>
            <w:r>
              <w:t>Explains why Govardhana becomes home.</w:t>
            </w:r>
          </w:p>
        </w:tc>
      </w:tr>
      <w:tr>
        <w:trPr>
          <w:cantSplit/>
        </w:trPr>
        <w:tc>
          <w:tcPr>
            <w:tcW w:type="dxa" w:w="3351"/>
            <w:tcMar>
              <w:top w:w="55" w:type="dxa"/>
              <w:start w:w="50" w:type="dxa"/>
              <w:bottom w:w="55" w:type="dxa"/>
              <w:end w:w="50" w:type="dxa"/>
            </w:tcMar>
          </w:tcPr>
          <w:p>
            <w:r>
              <w:t>Fourth</w:t>
            </w:r>
          </w:p>
        </w:tc>
        <w:tc>
          <w:tcPr>
            <w:tcW w:type="dxa" w:w="3351"/>
            <w:tcMar>
              <w:top w:w="55" w:type="dxa"/>
              <w:start w:w="50" w:type="dxa"/>
              <w:bottom w:w="55" w:type="dxa"/>
              <w:end w:w="50" w:type="dxa"/>
            </w:tcMar>
          </w:tcPr>
          <w:p>
            <w:r>
              <w:t>Rādhā-kuṇḍāṣṭaka</w:t>
            </w:r>
          </w:p>
        </w:tc>
        <w:tc>
          <w:tcPr>
            <w:tcW w:type="dxa" w:w="3351"/>
            <w:tcMar>
              <w:top w:w="55" w:type="dxa"/>
              <w:start w:w="50" w:type="dxa"/>
              <w:bottom w:w="55" w:type="dxa"/>
              <w:end w:w="50" w:type="dxa"/>
            </w:tcMar>
          </w:tcPr>
          <w:p>
            <w:r>
              <w:t>Explains why Rādhā-kuṇḍa becomes shelter.</w:t>
            </w:r>
          </w:p>
        </w:tc>
      </w:tr>
      <w:tr>
        <w:trPr>
          <w:cantSplit/>
        </w:trPr>
        <w:tc>
          <w:tcPr>
            <w:tcW w:type="dxa" w:w="3351"/>
            <w:tcMar>
              <w:top w:w="55" w:type="dxa"/>
              <w:start w:w="50" w:type="dxa"/>
              <w:bottom w:w="55" w:type="dxa"/>
              <w:end w:w="50" w:type="dxa"/>
            </w:tcMar>
          </w:tcPr>
          <w:p>
            <w:r>
              <w:t>Fifth</w:t>
            </w:r>
          </w:p>
        </w:tc>
        <w:tc>
          <w:tcPr>
            <w:tcW w:type="dxa" w:w="3351"/>
            <w:tcMar>
              <w:top w:w="55" w:type="dxa"/>
              <w:start w:w="50" w:type="dxa"/>
              <w:bottom w:w="55" w:type="dxa"/>
              <w:end w:w="50" w:type="dxa"/>
            </w:tcMar>
          </w:tcPr>
          <w:p>
            <w:r>
              <w:t>Vilāpa-kusumāñjali</w:t>
            </w:r>
          </w:p>
        </w:tc>
        <w:tc>
          <w:tcPr>
            <w:tcW w:type="dxa" w:w="3351"/>
            <w:tcMar>
              <w:top w:w="55" w:type="dxa"/>
              <w:start w:w="50" w:type="dxa"/>
              <w:bottom w:w="55" w:type="dxa"/>
              <w:end w:w="50" w:type="dxa"/>
            </w:tcMar>
          </w:tcPr>
          <w:p>
            <w:r>
              <w:t>The deepest first-person window into Rādhā-dāsya and longing.</w:t>
            </w:r>
          </w:p>
        </w:tc>
      </w:tr>
      <w:tr>
        <w:trPr>
          <w:cantSplit/>
        </w:trPr>
        <w:tc>
          <w:tcPr>
            <w:tcW w:type="dxa" w:w="3351"/>
            <w:tcMar>
              <w:top w:w="55" w:type="dxa"/>
              <w:start w:w="50" w:type="dxa"/>
              <w:bottom w:w="55" w:type="dxa"/>
              <w:end w:w="50" w:type="dxa"/>
            </w:tcMar>
          </w:tcPr>
          <w:p>
            <w:r>
              <w:t>Sixth</w:t>
            </w:r>
          </w:p>
        </w:tc>
        <w:tc>
          <w:tcPr>
            <w:tcW w:type="dxa" w:w="3351"/>
            <w:tcMar>
              <w:top w:w="55" w:type="dxa"/>
              <w:start w:w="50" w:type="dxa"/>
              <w:bottom w:w="55" w:type="dxa"/>
              <w:end w:w="50" w:type="dxa"/>
            </w:tcMar>
          </w:tcPr>
          <w:p>
            <w:r>
              <w:t>Vraja-vilāsa-stava</w:t>
            </w:r>
          </w:p>
        </w:tc>
        <w:tc>
          <w:tcPr>
            <w:tcW w:type="dxa" w:w="3351"/>
            <w:tcMar>
              <w:top w:w="55" w:type="dxa"/>
              <w:start w:w="50" w:type="dxa"/>
              <w:bottom w:w="55" w:type="dxa"/>
              <w:end w:w="50" w:type="dxa"/>
            </w:tcMar>
          </w:tcPr>
          <w:p>
            <w:r>
              <w:t>Expands the devotional world into the full Vraja landscape and community.</w:t>
            </w:r>
          </w:p>
        </w:tc>
      </w:tr>
      <w:tr>
        <w:trPr>
          <w:cantSplit/>
        </w:trPr>
        <w:tc>
          <w:tcPr>
            <w:tcW w:type="dxa" w:w="3351"/>
            <w:tcMar>
              <w:top w:w="55" w:type="dxa"/>
              <w:start w:w="50" w:type="dxa"/>
              <w:bottom w:w="55" w:type="dxa"/>
              <w:end w:w="50" w:type="dxa"/>
            </w:tcMar>
          </w:tcPr>
          <w:p>
            <w:r>
              <w:t>Then</w:t>
            </w:r>
          </w:p>
        </w:tc>
        <w:tc>
          <w:tcPr>
            <w:tcW w:type="dxa" w:w="3351"/>
            <w:tcMar>
              <w:top w:w="55" w:type="dxa"/>
              <w:start w:w="50" w:type="dxa"/>
              <w:bottom w:w="55" w:type="dxa"/>
              <w:end w:w="50" w:type="dxa"/>
            </w:tcMar>
          </w:tcPr>
          <w:p>
            <w:r>
              <w:t>Muktā-carita + Dāna-keli-cintāmaṇi</w:t>
            </w:r>
          </w:p>
        </w:tc>
        <w:tc>
          <w:tcPr>
            <w:tcW w:type="dxa" w:w="3351"/>
            <w:tcMar>
              <w:top w:w="55" w:type="dxa"/>
              <w:start w:w="50" w:type="dxa"/>
              <w:bottom w:w="55" w:type="dxa"/>
              <w:end w:w="50" w:type="dxa"/>
            </w:tcMar>
          </w:tcPr>
          <w:p>
            <w:r>
              <w:t>Recover the playful, dramatic side of the same poet.</w:t>
            </w:r>
          </w:p>
        </w:tc>
      </w:tr>
    </w:tbl>
    <w:p/>
    <w:p>
      <w:pPr>
        <w:pStyle w:val="Heading1"/>
        <w:spacing w:after="100"/>
      </w:pPr>
      <w:r>
        <w:rPr>
          <w:b w:val="0"/>
          <w:i w:val="0"/>
        </w:rPr>
        <w:t>8. Open bibliographic questions</w:t>
      </w:r>
    </w:p>
    <w:p>
      <w:pPr>
        <w:spacing w:after="80"/>
        <w:ind w:left="259" w:hanging="173"/>
      </w:pPr>
      <w:r>
        <w:rPr>
          <w:b/>
        </w:rPr>
        <w:t xml:space="preserve">• </w:t>
      </w:r>
      <w:r>
        <w:t>Recover the oldest manuscript witnesses and colophons for Stavāvalī as a collected corpus.</w:t>
      </w:r>
    </w:p>
    <w:p>
      <w:pPr>
        <w:spacing w:after="80"/>
        <w:ind w:left="259" w:hanging="173"/>
      </w:pPr>
      <w:r>
        <w:rPr>
          <w:b/>
        </w:rPr>
        <w:t xml:space="preserve">• </w:t>
      </w:r>
      <w:r>
        <w:t>Determine the compilation history of the thirty-work Stavāvalī and whether the order is stable across early manuscripts.</w:t>
      </w:r>
    </w:p>
    <w:p>
      <w:pPr>
        <w:spacing w:after="80"/>
        <w:ind w:left="259" w:hanging="173"/>
      </w:pPr>
      <w:r>
        <w:rPr>
          <w:b/>
        </w:rPr>
        <w:t xml:space="preserve">• </w:t>
      </w:r>
      <w:r>
        <w:t>Establish the manuscript relationship behind the 1959 Stavāvalī edition used by modern digital repositories.</w:t>
      </w:r>
    </w:p>
    <w:p>
      <w:pPr>
        <w:spacing w:after="80"/>
        <w:ind w:left="259" w:hanging="173"/>
      </w:pPr>
      <w:r>
        <w:rPr>
          <w:b/>
        </w:rPr>
        <w:t xml:space="preserve">• </w:t>
      </w:r>
      <w:r>
        <w:t>Collate Muktā-carita against the 1918 Nitya Svarūpa Brahmacārī edition and any earlier manuscripts.</w:t>
      </w:r>
    </w:p>
    <w:p>
      <w:pPr>
        <w:spacing w:after="80"/>
        <w:ind w:left="259" w:hanging="173"/>
      </w:pPr>
      <w:r>
        <w:rPr>
          <w:b/>
        </w:rPr>
        <w:t xml:space="preserve">• </w:t>
      </w:r>
      <w:r>
        <w:t>Collate Dāna-keli-cintāmaṇi against Haridāsa Dāsa 1937, Advaita Dāsa 1996 and earlier manuscript witnesses.</w:t>
      </w:r>
    </w:p>
    <w:p>
      <w:pPr>
        <w:spacing w:after="80"/>
        <w:ind w:left="259" w:hanging="173"/>
      </w:pPr>
      <w:r>
        <w:rPr>
          <w:b/>
        </w:rPr>
        <w:t xml:space="preserve">• </w:t>
      </w:r>
      <w:r>
        <w:t>Clarify the exact wording of Bhakti-ratnākara 1.830–832 across printed Bengali witnesses, especially the electronic nāma-/dāna-carita irregularity.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RDGB-A03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RDGB-A03 — Works of Raghunātha dāsa Gosvāmī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