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rPr>
        <w:t>GOVARDHANA PILGRIMAGE</w:t>
      </w:r>
    </w:p>
    <w:p>
      <w:pPr>
        <w:spacing w:after="20"/>
      </w:pPr>
      <w:r>
        <w:rPr>
          <w:b w:val="0"/>
          <w:i w:val="0"/>
        </w:rPr>
        <w:t>Raghunātha dāsa Gosvāmī — Research Appendix</w:t>
      </w:r>
    </w:p>
    <w:p>
      <w:pPr>
        <w:spacing w:after="60"/>
      </w:pPr>
      <w:r>
        <w:rPr>
          <w:b/>
          <w:i w:val="0"/>
        </w:rPr>
        <w:t>RDGB-A04</w:t>
      </w:r>
    </w:p>
    <w:p>
      <w:pPr>
        <w:pStyle w:val="Title"/>
        <w:spacing w:after="20"/>
      </w:pPr>
      <w:r>
        <w:rPr>
          <w:b w:val="0"/>
          <w:i w:val="0"/>
        </w:rPr>
        <w:t>Rasa Mañjarī, Rati Mañjarī and Bhānumatī</w:t>
      </w:r>
    </w:p>
    <w:p>
      <w:pPr>
        <w:pStyle w:val="Subtitle"/>
        <w:spacing w:after="160"/>
      </w:pPr>
      <w:r>
        <w:rPr>
          <w:b w:val="0"/>
          <w:i w:val="0"/>
        </w:rPr>
        <w:t>Raghunātha dāsa Gosvāmī’s inner-identity tradition and its variants</w:t>
      </w:r>
    </w:p>
    <w:tbl>
      <w:tblPr>
        <w:tblW w:type="auto" w:w="0"/>
        <w:jc w:val="center"/>
        <w:tblLayout w:type="fixed"/>
        <w:tblLook w:firstColumn="1" w:firstRow="1" w:lastColumn="0" w:lastRow="0" w:noHBand="0" w:noVBand="1" w:val="04A0"/>
      </w:tblPr>
      <w:tblGrid>
        <w:gridCol w:w="1656"/>
        <w:gridCol w:w="8496"/>
      </w:tblGrid>
      <w:tr>
        <w:trPr>
          <w:cantSplit/>
          <w:tblHeader w:val="true"/>
        </w:trPr>
        <w:tc>
          <w:tcPr>
            <w:tcW w:type="dxa" w:w="5026"/>
            <w:shd w:fill="E9D8DD"/>
            <w:tcMar>
              <w:top w:w="60" w:type="dxa"/>
              <w:start w:w="55" w:type="dxa"/>
              <w:bottom w:w="60" w:type="dxa"/>
              <w:end w:w="55" w:type="dxa"/>
            </w:tcMar>
            <w:vAlign w:val="center"/>
          </w:tcPr>
          <w:p>
            <w:r>
              <w:rPr>
                <w:b/>
              </w:rPr>
              <w:t>FINAL USE</w:t>
            </w:r>
          </w:p>
        </w:tc>
        <w:tc>
          <w:tcPr>
            <w:tcW w:type="dxa" w:w="5026"/>
            <w:tcMar>
              <w:top w:w="60" w:type="dxa"/>
              <w:start w:w="55" w:type="dxa"/>
              <w:bottom w:w="60" w:type="dxa"/>
              <w:end w:w="55" w:type="dxa"/>
            </w:tcMar>
            <w:vAlign w:val="center"/>
          </w:tcPr>
          <w:p>
            <w:r>
              <w:t>Final v1.0 research/pilgrim appendix. Content is frozen for the Raghunātha dāsa Gosvāmī project. Scholarly controls and explicitly non-blocking open questions are retained for transparency.</w:t>
            </w:r>
          </w:p>
        </w:tc>
      </w:tr>
    </w:tbl>
    <w:p/>
    <w:p>
      <w:pPr>
        <w:pStyle w:val="Heading1"/>
        <w:spacing w:after="100"/>
      </w:pPr>
      <w:r>
        <w:rPr>
          <w:b w:val="0"/>
          <w:i w:val="0"/>
        </w:rPr>
        <w:t>1. The controlling early verse</w:t>
      </w:r>
    </w:p>
    <w:p>
      <w:pPr>
        <w:spacing w:after="100"/>
      </w:pPr>
      <w:r>
        <w:rPr>
          <w:b w:val="0"/>
          <w:i w:val="0"/>
        </w:rPr>
        <w:t>The most important early identification presently controlled for this biography is Kavi Karṇapūra’s Gaura-gaṇoddeśa-dīpikā 186.</w:t>
      </w:r>
    </w:p>
    <w:p>
      <w:pPr>
        <w:spacing w:after="100"/>
      </w:pPr>
      <w:r>
        <w:rPr>
          <w:b w:val="0"/>
          <w:i w:val="0"/>
        </w:rPr>
        <w:t>It does not give only one name and leave later readers to create the variants. The plurality is already inside the verse itself.</w:t>
      </w:r>
    </w:p>
    <w:p>
      <w:pPr>
        <w:keepNext/>
        <w:keepLines/>
        <w:spacing w:after="40"/>
        <w:ind w:left="504" w:right="216"/>
      </w:pPr>
      <w:r>
        <w:rPr>
          <w:i/>
        </w:rPr>
        <w:t>dāsa-śrī-raghunāthasya pūrvākhyā rasa-mañjarī |</w:t>
        <w:br/>
      </w:r>
      <w:r>
        <w:rPr>
          <w:i/>
        </w:rPr>
        <w:t>amuṁ kecit prabhāṣante śrīmatīṁ rati-mañjarīm |</w:t>
        <w:br/>
      </w:r>
      <w:r>
        <w:rPr>
          <w:i/>
        </w:rPr>
        <w:t>bhānumaty-ākhyayā kecid āhus taṁ nāma-bhedataḥ ||186||</w:t>
        <w:br/>
      </w:r>
    </w:p>
    <w:p>
      <w:pPr>
        <w:keepLines/>
        <w:spacing w:after="140"/>
        <w:ind w:left="504" w:right="216"/>
      </w:pPr>
      <w:r>
        <w:rPr>
          <w:i/>
        </w:rPr>
        <w:t>“The former identity/name of Śrī Raghunātha dāsa was Rasa Mañjarī. Some speak of him as Śrīmatī Rati Mañjarī, and others call him by the name Bhānumatī, because of variation in name.”</w:t>
      </w:r>
    </w:p>
    <w:p>
      <w:pPr>
        <w:pStyle w:val="Heading2"/>
        <w:spacing w:after="80"/>
      </w:pPr>
      <w:r>
        <w:rPr>
          <w:b w:val="0"/>
          <w:i w:val="0"/>
        </w:rPr>
        <w:t>What the wording itself establishes</w:t>
      </w:r>
    </w:p>
    <w:tbl>
      <w:tblPr>
        <w:tblStyle w:val="TableGrid"/>
        <w:tblW w:type="auto" w:w="0"/>
        <w:jc w:val="center"/>
        <w:tblLook w:firstColumn="1" w:firstRow="1" w:lastColumn="0" w:lastRow="0" w:noHBand="0" w:noVBand="1" w:val="04A0"/>
      </w:tblPr>
      <w:tblGrid>
        <w:gridCol w:w="3351"/>
        <w:gridCol w:w="3351"/>
        <w:gridCol w:w="3351"/>
      </w:tblGrid>
      <w:tr>
        <w:trPr>
          <w:cantSplit/>
          <w:tblHeader w:val="true"/>
        </w:trPr>
        <w:tc>
          <w:tcPr>
            <w:tcW w:type="dxa" w:w="3351"/>
            <w:shd w:fill="E9D8DD"/>
          </w:tcPr>
          <w:p>
            <w:r>
              <w:rPr>
                <w:b/>
              </w:rPr>
              <w:t>Name</w:t>
            </w:r>
          </w:p>
        </w:tc>
        <w:tc>
          <w:tcPr>
            <w:tcW w:type="dxa" w:w="3351"/>
            <w:shd w:fill="E9D8DD"/>
          </w:tcPr>
          <w:p>
            <w:r>
              <w:rPr>
                <w:b/>
              </w:rPr>
              <w:t>Wording in GGD 186</w:t>
            </w:r>
          </w:p>
        </w:tc>
        <w:tc>
          <w:tcPr>
            <w:tcW w:type="dxa" w:w="3351"/>
            <w:shd w:fill="E9D8DD"/>
          </w:tcPr>
          <w:p>
            <w:r>
              <w:rPr>
                <w:b/>
              </w:rPr>
              <w:t>Source-critical reading</w:t>
            </w:r>
          </w:p>
        </w:tc>
      </w:tr>
      <w:tr>
        <w:trPr>
          <w:cantSplit/>
        </w:trPr>
        <w:tc>
          <w:tcPr>
            <w:tcW w:type="dxa" w:w="3351"/>
            <w:tcMar>
              <w:top w:w="60" w:type="dxa"/>
              <w:start w:w="55" w:type="dxa"/>
              <w:bottom w:w="60" w:type="dxa"/>
              <w:end w:w="55" w:type="dxa"/>
            </w:tcMar>
          </w:tcPr>
          <w:p>
            <w:r>
              <w:t>Rasa Mañjarī</w:t>
            </w:r>
          </w:p>
        </w:tc>
        <w:tc>
          <w:tcPr>
            <w:tcW w:type="dxa" w:w="3351"/>
            <w:tcMar>
              <w:top w:w="60" w:type="dxa"/>
              <w:start w:w="55" w:type="dxa"/>
              <w:bottom w:w="60" w:type="dxa"/>
              <w:end w:w="55" w:type="dxa"/>
            </w:tcMar>
          </w:tcPr>
          <w:p>
            <w:r>
              <w:t>pūrvākhyā rasa-mañjarī</w:t>
            </w:r>
          </w:p>
        </w:tc>
        <w:tc>
          <w:tcPr>
            <w:tcW w:type="dxa" w:w="3351"/>
            <w:tcMar>
              <w:top w:w="60" w:type="dxa"/>
              <w:start w:w="55" w:type="dxa"/>
              <w:bottom w:w="60" w:type="dxa"/>
              <w:end w:w="55" w:type="dxa"/>
            </w:tcMar>
          </w:tcPr>
          <w:p>
            <w:r>
              <w:t>The verse states this first and most directly as Raghunātha’s former name/identity.</w:t>
            </w:r>
          </w:p>
        </w:tc>
      </w:tr>
      <w:tr>
        <w:trPr>
          <w:cantSplit/>
        </w:trPr>
        <w:tc>
          <w:tcPr>
            <w:tcW w:type="dxa" w:w="3351"/>
            <w:tcMar>
              <w:top w:w="60" w:type="dxa"/>
              <w:start w:w="55" w:type="dxa"/>
              <w:bottom w:w="60" w:type="dxa"/>
              <w:end w:w="55" w:type="dxa"/>
            </w:tcMar>
          </w:tcPr>
          <w:p>
            <w:r>
              <w:t>Rati Mañjarī</w:t>
            </w:r>
          </w:p>
        </w:tc>
        <w:tc>
          <w:tcPr>
            <w:tcW w:type="dxa" w:w="3351"/>
            <w:tcMar>
              <w:top w:w="60" w:type="dxa"/>
              <w:start w:w="55" w:type="dxa"/>
              <w:bottom w:w="60" w:type="dxa"/>
              <w:end w:w="55" w:type="dxa"/>
            </w:tcMar>
          </w:tcPr>
          <w:p>
            <w:r>
              <w:t>amuṁ kecit prabhāṣante</w:t>
            </w:r>
          </w:p>
        </w:tc>
        <w:tc>
          <w:tcPr>
            <w:tcW w:type="dxa" w:w="3351"/>
            <w:tcMar>
              <w:top w:w="60" w:type="dxa"/>
              <w:start w:w="55" w:type="dxa"/>
              <w:bottom w:w="60" w:type="dxa"/>
              <w:end w:w="55" w:type="dxa"/>
            </w:tcMar>
          </w:tcPr>
          <w:p>
            <w:r>
              <w:t>“Some” call him Rati Mañjarī; the source itself marks this as a received variant.</w:t>
            </w:r>
          </w:p>
        </w:tc>
      </w:tr>
      <w:tr>
        <w:trPr>
          <w:cantSplit/>
        </w:trPr>
        <w:tc>
          <w:tcPr>
            <w:tcW w:type="dxa" w:w="3351"/>
            <w:tcMar>
              <w:top w:w="60" w:type="dxa"/>
              <w:start w:w="55" w:type="dxa"/>
              <w:bottom w:w="60" w:type="dxa"/>
              <w:end w:w="55" w:type="dxa"/>
            </w:tcMar>
          </w:tcPr>
          <w:p>
            <w:r>
              <w:t>Bhānumatī</w:t>
            </w:r>
          </w:p>
        </w:tc>
        <w:tc>
          <w:tcPr>
            <w:tcW w:type="dxa" w:w="3351"/>
            <w:tcMar>
              <w:top w:w="60" w:type="dxa"/>
              <w:start w:w="55" w:type="dxa"/>
              <w:bottom w:w="60" w:type="dxa"/>
              <w:end w:w="55" w:type="dxa"/>
            </w:tcMar>
          </w:tcPr>
          <w:p>
            <w:r>
              <w:t>bhānumaty-ākhyayā kecid āhuḥ</w:t>
            </w:r>
          </w:p>
        </w:tc>
        <w:tc>
          <w:tcPr>
            <w:tcW w:type="dxa" w:w="3351"/>
            <w:tcMar>
              <w:top w:w="60" w:type="dxa"/>
              <w:start w:w="55" w:type="dxa"/>
              <w:bottom w:w="60" w:type="dxa"/>
              <w:end w:w="55" w:type="dxa"/>
            </w:tcMar>
          </w:tcPr>
          <w:p>
            <w:r>
              <w:t>“Others” call him Bhānumatī; again the verse preserves a variant rather than suppressing it.</w:t>
            </w:r>
          </w:p>
        </w:tc>
      </w:tr>
      <w:tr>
        <w:trPr>
          <w:cantSplit/>
        </w:trPr>
        <w:tc>
          <w:tcPr>
            <w:tcW w:type="dxa" w:w="3351"/>
            <w:tcMar>
              <w:top w:w="60" w:type="dxa"/>
              <w:start w:w="55" w:type="dxa"/>
              <w:bottom w:w="60" w:type="dxa"/>
              <w:end w:w="55" w:type="dxa"/>
            </w:tcMar>
          </w:tcPr>
          <w:p>
            <w:r>
              <w:t>Plurality</w:t>
            </w:r>
          </w:p>
        </w:tc>
        <w:tc>
          <w:tcPr>
            <w:tcW w:type="dxa" w:w="3351"/>
            <w:tcMar>
              <w:top w:w="60" w:type="dxa"/>
              <w:start w:w="55" w:type="dxa"/>
              <w:bottom w:w="60" w:type="dxa"/>
              <w:end w:w="55" w:type="dxa"/>
            </w:tcMar>
          </w:tcPr>
          <w:p>
            <w:r>
              <w:t>nāma-bhedataḥ</w:t>
            </w:r>
          </w:p>
        </w:tc>
        <w:tc>
          <w:tcPr>
            <w:tcW w:type="dxa" w:w="3351"/>
            <w:tcMar>
              <w:top w:w="60" w:type="dxa"/>
              <w:start w:w="55" w:type="dxa"/>
              <w:bottom w:w="60" w:type="dxa"/>
              <w:end w:w="55" w:type="dxa"/>
            </w:tcMar>
          </w:tcPr>
          <w:p>
            <w:r>
              <w:t>The closing phrase explicitly signals variation/difference of name. At minimum, the author knows more than one naming tradition.</w:t>
            </w:r>
          </w:p>
        </w:tc>
      </w:tr>
    </w:tbl>
    <w:p>
      <w:pPr>
        <w:spacing w:after="160"/>
      </w:pPr>
      <w:r>
        <w:rPr>
          <w:b w:val="0"/>
          <w:i/>
        </w:rPr>
        <w:t>The safest biography wording is therefore not “Raghunātha was Rati Mañjarī” or “Raghunātha was only Rasa Mañjarī.” It is: Kavi Karṇapūra principally identifies him as Rasa Mañjarī while explicitly preserving traditions that call him Rati Mañjarī or Bhānumatī.</w:t>
      </w:r>
    </w:p>
    <w:p>
      <w:pPr>
        <w:pStyle w:val="Heading1"/>
        <w:spacing w:after="100"/>
      </w:pPr>
      <w:r>
        <w:rPr>
          <w:b w:val="0"/>
          <w:i w:val="0"/>
        </w:rPr>
        <w:t>2. Why the variants should not be flattened</w:t>
      </w:r>
    </w:p>
    <w:p>
      <w:pPr>
        <w:spacing w:after="100"/>
      </w:pPr>
      <w:r>
        <w:rPr>
          <w:b w:val="0"/>
          <w:i w:val="0"/>
        </w:rPr>
        <w:t>Gaura-gaṇoddeśa-dīpikā is itself an identity catalogue in which alternate identifications occur elsewhere as well. It is therefore methodologically wrong to treat every “some say” as an embarrassment that must be removed before the text can make sense.</w:t>
      </w:r>
    </w:p>
    <w:p>
      <w:pPr>
        <w:spacing w:after="100"/>
      </w:pPr>
      <w:r>
        <w:rPr>
          <w:b w:val="0"/>
          <w:i w:val="0"/>
        </w:rPr>
        <w:t>Verse 181, for example, also preserves Rati/Lavaṅga Mañjarī naming in connection with Sanātana Gosvāmī in the received text. That makes a simple one-modern-name-to-one-historical-person chart unsafe unless manuscript variants and the author’s own nāma-bheda logic are examined carefully.</w:t>
      </w:r>
    </w:p>
    <w:p>
      <w:pPr>
        <w:spacing w:after="100"/>
      </w:pPr>
      <w:r>
        <w:rPr>
          <w:b w:val="0"/>
          <w:i w:val="0"/>
        </w:rPr>
        <w:t>The present appendix therefore does not attempt to solve the metaphysics of multiple eternal names or forms. It records the textual fact: the early Gauḍīya identity tradition is not perfectly one-to-one in the way a modern database would prefer.</w:t>
      </w:r>
    </w:p>
    <w:p>
      <w:pPr>
        <w:pStyle w:val="Heading1"/>
        <w:spacing w:after="100"/>
      </w:pPr>
      <w:r>
        <w:rPr>
          <w:b w:val="0"/>
          <w:i w:val="0"/>
        </w:rPr>
        <w:t>3. What Raghunātha himself says — and does not say</w:t>
      </w:r>
    </w:p>
    <w:p>
      <w:pPr>
        <w:spacing w:after="100"/>
      </w:pPr>
      <w:r>
        <w:rPr>
          <w:b w:val="0"/>
          <w:i w:val="0"/>
        </w:rPr>
        <w:t>Raghunātha’s own writings are even more important for understanding his devotional self-positioning, but they answer a different question.</w:t>
      </w:r>
    </w:p>
    <w:p>
      <w:pPr>
        <w:spacing w:after="100"/>
      </w:pPr>
      <w:r>
        <w:rPr>
          <w:b w:val="0"/>
          <w:i w:val="0"/>
        </w:rPr>
        <w:t>In the passages presently controlled in Stavāvalī, Raghunātha does not simply write, “I am Rasa Mañjarī,” “I am Rati Mañjarī,” or “I am Bhānumatī.”</w:t>
      </w:r>
    </w:p>
    <w:p>
      <w:pPr>
        <w:spacing w:after="100"/>
      </w:pPr>
      <w:r>
        <w:rPr>
          <w:b w:val="0"/>
          <w:i w:val="0"/>
        </w:rPr>
        <w:t>Instead, his first-person devotional voice consistently places him inside Rādhā’s intimate service-world, under the shelter of Rūpa Mañjarī and oriented toward Rādhā-dāsya.</w:t>
      </w:r>
    </w:p>
    <w:p>
      <w:pPr>
        <w:pStyle w:val="Heading2"/>
        <w:spacing w:after="80"/>
      </w:pPr>
      <w:r>
        <w:rPr>
          <w:b w:val="0"/>
          <w:i w:val="0"/>
        </w:rPr>
        <w:t>Vilāpa-kusumāñjali begins with Rūpa Mañjarī</w:t>
      </w:r>
    </w:p>
    <w:p>
      <w:pPr>
        <w:keepNext/>
        <w:keepLines/>
        <w:spacing w:after="40"/>
        <w:ind w:left="504" w:right="216"/>
      </w:pPr>
      <w:r>
        <w:rPr>
          <w:i/>
        </w:rPr>
        <w:t>tvaṁ rūpa-mañjari sakhi prathitā pure ’smin</w:t>
        <w:br/>
      </w:r>
      <w:r>
        <w:rPr>
          <w:i/>
        </w:rPr>
        <w:t>puṁsaḥ parasya vadanaṁ na hi paśyasīti |</w:t>
        <w:br/>
      </w:r>
      <w:r>
        <w:rPr>
          <w:i/>
        </w:rPr>
        <w:t>bimbādhare kṣatam anāgata-bhartṛkāyā</w:t>
        <w:br/>
      </w:r>
      <w:r>
        <w:rPr>
          <w:i/>
        </w:rPr>
        <w:t>yat te vyadhāyi kim u tac chuka-puṅgavena ||1||</w:t>
        <w:br/>
      </w:r>
    </w:p>
    <w:p>
      <w:pPr>
        <w:keepLines/>
        <w:spacing w:after="140"/>
        <w:ind w:left="504" w:right="216"/>
      </w:pPr>
      <w:r>
        <w:rPr>
          <w:i/>
        </w:rPr>
        <w:t>Raghunātha opens by directly addressing Rūpa Mañjarī as “sakhi.” The poem then develops from within the intimate service-world associated with her.</w:t>
      </w:r>
    </w:p>
    <w:p>
      <w:pPr>
        <w:pStyle w:val="Heading2"/>
        <w:spacing w:after="80"/>
      </w:pPr>
      <w:r>
        <w:rPr>
          <w:b w:val="0"/>
          <w:i w:val="0"/>
        </w:rPr>
        <w:t>The speaker explicitly takes the voice of a dāsī</w:t>
      </w:r>
    </w:p>
    <w:p>
      <w:pPr>
        <w:keepNext/>
        <w:keepLines/>
        <w:spacing w:after="40"/>
        <w:ind w:left="504" w:right="216"/>
      </w:pPr>
      <w:r>
        <w:rPr>
          <w:i/>
        </w:rPr>
        <w:t>atyutkaṭena nitarāṁ virahānalena</w:t>
        <w:br/>
      </w:r>
      <w:r>
        <w:rPr>
          <w:i/>
        </w:rPr>
        <w:t>dandahyamāna-hṛdayā kila kāpi dāsī |</w:t>
        <w:br/>
      </w:r>
      <w:r>
        <w:rPr>
          <w:i/>
        </w:rPr>
        <w:t>hā svāmini kṣaṇam iha praṇayena gāḍham</w:t>
        <w:br/>
      </w:r>
      <w:r>
        <w:rPr>
          <w:i/>
        </w:rPr>
        <w:t>ākrandanena vidhurā vilapāmi padyaiḥ ||7||</w:t>
        <w:br/>
      </w:r>
    </w:p>
    <w:p>
      <w:pPr>
        <w:keepLines/>
        <w:spacing w:after="140"/>
        <w:ind w:left="504" w:right="216"/>
      </w:pPr>
      <w:r>
        <w:rPr>
          <w:i/>
        </w:rPr>
        <w:t>“A certain maidservant, her heart intensely scorched by the blazing fire of separation, cries out, ‘O my Mistress!’ Overwhelmed, I lament here in verses with deep love.”</w:t>
      </w:r>
    </w:p>
    <w:p>
      <w:pPr>
        <w:spacing w:after="100"/>
      </w:pPr>
      <w:r>
        <w:rPr>
          <w:b w:val="0"/>
          <w:i w:val="0"/>
        </w:rPr>
        <w:t>This is powerful A1 evidence for Raghunātha’s devotional self-presentation as a servant of Rādhā in the mañjarī/dāsī service-world.</w:t>
      </w:r>
    </w:p>
    <w:p>
      <w:pPr>
        <w:spacing w:after="100"/>
      </w:pPr>
      <w:r>
        <w:rPr>
          <w:b w:val="0"/>
          <w:i w:val="0"/>
        </w:rPr>
        <w:t>It is not, by itself, a textual reason to replace Kavi Karṇapūra’s three-name verse with a single later preferred name.</w:t>
      </w:r>
    </w:p>
    <w:p>
      <w:pPr>
        <w:pStyle w:val="Heading1"/>
        <w:spacing w:after="100"/>
      </w:pPr>
      <w:r>
        <w:rPr>
          <w:b w:val="0"/>
          <w:i w:val="0"/>
        </w:rPr>
        <w:t>4. Rasa Mañjarī</w:t>
      </w:r>
    </w:p>
    <w:p>
      <w:pPr>
        <w:spacing w:after="100"/>
      </w:pPr>
      <w:r>
        <w:rPr>
          <w:b w:val="0"/>
          <w:i w:val="0"/>
        </w:rPr>
        <w:t>Rasa Mañjarī has the strongest claim if one is asking only, “What name does Gaura-gaṇoddeśa-dīpikā 186 state first?”</w:t>
      </w:r>
    </w:p>
    <w:p>
      <w:pPr>
        <w:spacing w:after="100"/>
      </w:pPr>
      <w:r>
        <w:rPr>
          <w:b w:val="0"/>
          <w:i w:val="0"/>
        </w:rPr>
        <w:t>The verse uses pūrvākhyā — former name/designation — and gives Rasa Mañjarī directly before introducing the two “some say” traditions.</w:t>
      </w:r>
    </w:p>
    <w:p>
      <w:pPr>
        <w:spacing w:after="100"/>
      </w:pPr>
      <w:r>
        <w:rPr>
          <w:b w:val="0"/>
          <w:i w:val="0"/>
        </w:rPr>
        <w:t>For a source-critical biography, Rasa Mañjarī should therefore normally be listed first.</w:t>
      </w:r>
    </w:p>
    <w:p>
      <w:pPr>
        <w:pStyle w:val="Heading1"/>
        <w:spacing w:after="100"/>
      </w:pPr>
      <w:r>
        <w:rPr>
          <w:b w:val="0"/>
          <w:i w:val="0"/>
        </w:rPr>
        <w:t>5. Rati Mañjarī</w:t>
      </w:r>
    </w:p>
    <w:p>
      <w:pPr>
        <w:spacing w:after="100"/>
      </w:pPr>
      <w:r>
        <w:rPr>
          <w:b w:val="0"/>
          <w:i w:val="0"/>
        </w:rPr>
        <w:t>Rati Mañjarī is not merely a very late popular attribution. Kavi Karṇapūra already knows and records a tradition identifying Raghunātha with Rati Mañjarī.</w:t>
      </w:r>
    </w:p>
    <w:p>
      <w:pPr>
        <w:spacing w:after="100"/>
      </w:pPr>
      <w:r>
        <w:rPr>
          <w:b w:val="0"/>
          <w:i w:val="0"/>
        </w:rPr>
        <w:t>At the same time, the received Gaura-gaṇoddeśa-dīpikā also uses Rati/Lavaṅga Mañjarī naming elsewhere. This is precisely why the appendix should preserve the source’s own plurality rather than silently reorganizing it.</w:t>
      </w:r>
    </w:p>
    <w:p>
      <w:pPr>
        <w:spacing w:after="100"/>
      </w:pPr>
      <w:r>
        <w:rPr>
          <w:b w:val="0"/>
          <w:i w:val="0"/>
        </w:rPr>
        <w:t>Many later Gauḍīya lineages strongly privilege the name Rati Mañjarī for Raghunātha. That living theological usage can be stated as lineage tradition when relevant, but it should not be rewritten backward as though verse 186 contained no alternatives.</w:t>
      </w:r>
    </w:p>
    <w:p>
      <w:pPr>
        <w:pStyle w:val="Heading1"/>
        <w:spacing w:after="100"/>
      </w:pPr>
      <w:r>
        <w:rPr>
          <w:b w:val="0"/>
          <w:i w:val="0"/>
        </w:rPr>
        <w:t>6. Bhānumatī</w:t>
      </w:r>
    </w:p>
    <w:p>
      <w:pPr>
        <w:spacing w:after="100"/>
      </w:pPr>
      <w:r>
        <w:rPr>
          <w:b w:val="0"/>
          <w:i w:val="0"/>
        </w:rPr>
        <w:t>Bhānumatī is likewise explicitly present in Gaura-gaṇoddeśa-dīpikā 186.</w:t>
      </w:r>
    </w:p>
    <w:p>
      <w:pPr>
        <w:spacing w:after="100"/>
      </w:pPr>
      <w:r>
        <w:rPr>
          <w:b w:val="0"/>
          <w:i w:val="0"/>
        </w:rPr>
        <w:t>The controlled verse gives the name but does not, in that verse, supply a full biography, service portfolio, kuñja location or relationship network for Bhānumatī.</w:t>
      </w:r>
    </w:p>
    <w:p>
      <w:pPr>
        <w:spacing w:after="100"/>
      </w:pPr>
      <w:r>
        <w:rPr>
          <w:b w:val="0"/>
          <w:i w:val="0"/>
        </w:rPr>
        <w:t>Later writers sometimes add such details. Those details should be cited to their own sources rather than smuggled into Kavi Karṇapūra’s verse.</w:t>
      </w:r>
    </w:p>
    <w:p>
      <w:pPr>
        <w:pStyle w:val="Heading1"/>
        <w:spacing w:after="100"/>
      </w:pPr>
      <w:r>
        <w:rPr>
          <w:b w:val="0"/>
          <w:i w:val="0"/>
        </w:rPr>
        <w:t>7. What about Tulasī Mañjarī?</w:t>
      </w:r>
    </w:p>
    <w:p>
      <w:pPr>
        <w:keepLines/>
        <w:spacing w:after="140"/>
        <w:ind w:left="504" w:right="288"/>
      </w:pPr>
      <w:r>
        <w:t>This is a related but separate textual problem.</w:t>
      </w:r>
    </w:p>
    <w:p>
      <w:pPr>
        <w:keepLines/>
        <w:spacing w:after="140"/>
        <w:ind w:left="504" w:right="288"/>
      </w:pPr>
      <w:r>
        <w:t>Govinda-līlāmṛta securely presents a Tulasī as a very intimate operational servant and messenger in Rādhā-Kṛṣṇa’s confidential līlā. The Rādhā-kuṇḍa research ledgers trace her rapid attendance, delivery of service articles and messenger functions.</w:t>
      </w:r>
    </w:p>
    <w:p>
      <w:pPr>
        <w:keepLines/>
        <w:spacing w:after="140"/>
        <w:ind w:left="504" w:right="288"/>
      </w:pPr>
      <w:r>
        <w:rPr>
          <w:i/>
        </w:rPr>
        <w:t>Tulasī Mañjarī = Rati Mañjarī = Bhānumatī = Raghunātha dāsa.</w:t>
      </w:r>
    </w:p>
    <w:p>
      <w:pPr>
        <w:spacing w:after="100"/>
      </w:pPr>
      <w:r>
        <w:rPr>
          <w:b w:val="0"/>
          <w:i w:val="0"/>
        </w:rPr>
        <w:t>That equation is presently visible in later printed/commentarial tradition and remains a textual-genealogy question.</w:t>
      </w:r>
    </w:p>
    <w:p>
      <w:pPr>
        <w:spacing w:after="100"/>
      </w:pPr>
      <w:r>
        <w:rPr>
          <w:b w:val="0"/>
          <w:i w:val="0"/>
        </w:rPr>
        <w:t>Therefore Tulasī should not be substituted for Rasa/Rati/Bhānumatī everywhere merely because a later lineage or edition makes the identification.</w:t>
      </w:r>
    </w:p>
    <w:p>
      <w:pPr>
        <w:pStyle w:val="Heading1"/>
        <w:spacing w:after="100"/>
      </w:pPr>
      <w:r>
        <w:rPr>
          <w:b w:val="0"/>
          <w:i w:val="0"/>
        </w:rPr>
        <w:t>8. Recommended wording in the finished biography</w:t>
      </w:r>
    </w:p>
    <w:p>
      <w:pPr>
        <w:keepLines/>
        <w:spacing w:after="140"/>
        <w:ind w:left="504" w:right="288"/>
      </w:pPr>
      <w:r>
        <w:rPr>
          <w:i/>
        </w:rPr>
        <w:t>Kavi Karṇapūra’s Gaura-gaṇoddeśa-dīpikā 186 principally identifies Raghunātha dāsa Gosvāmī with Rasa Mañjarī, while explicitly preserving traditions that call him Rati Mañjarī or Bhānumatī; the verse itself signals variation of name (nāma-bhedataḥ). Raghunātha’s own writings do not, in the passages presently controlled, settle the name question directly. They do, however, unmistakably express an intimate dāsī-service orientation under Rūpa Mañjarī and toward the service of Śrī Rādhā.</w:t>
      </w:r>
    </w:p>
    <w:p>
      <w:pPr>
        <w:pStyle w:val="Heading2"/>
        <w:spacing w:after="80"/>
      </w:pPr>
      <w:r>
        <w:rPr>
          <w:b w:val="0"/>
          <w:i w:val="0"/>
        </w:rPr>
        <w:t>For a lineage-specific version</w:t>
      </w:r>
    </w:p>
    <w:p>
      <w:pPr>
        <w:spacing w:after="100"/>
      </w:pPr>
      <w:r>
        <w:rPr>
          <w:b w:val="0"/>
          <w:i w:val="0"/>
        </w:rPr>
        <w:t>If a later public or lineage-specific edition of the guide wishes to use “Rati Mañjarī” as the normal devotional name, it may do so while retaining a footnote that Gaura-gaṇoddeśa-dīpikā 186 gives Rasa Mañjarī first and also preserves Bhānumatī. That preserves both devotional usage and textual honesty.</w:t>
      </w:r>
    </w:p>
    <w:p>
      <w:pPr>
        <w:pStyle w:val="Heading1"/>
        <w:spacing w:after="100"/>
      </w:pPr>
      <w:r>
        <w:rPr>
          <w:b w:val="0"/>
          <w:i w:val="0"/>
        </w:rPr>
        <w:t>9. What a pilgrim needs to know</w:t>
      </w:r>
    </w:p>
    <w:p>
      <w:pPr>
        <w:spacing w:after="100"/>
      </w:pPr>
      <w:r>
        <w:rPr>
          <w:b w:val="0"/>
          <w:i w:val="0"/>
        </w:rPr>
        <w:t>At Raghunātha’s samādhi, resolving the three names is not necessary in order to pray meaningfully.</w:t>
      </w:r>
    </w:p>
    <w:p>
      <w:pPr>
        <w:spacing w:after="100"/>
      </w:pPr>
      <w:r>
        <w:rPr>
          <w:b w:val="0"/>
          <w:i w:val="0"/>
        </w:rPr>
        <w:t>His own texts give a safer devotional center: shelter of Rūpa Mañjarī, longing for Rādhā’s feet, service to Rādhā-kuṇḍa, and the prayer “I am Yours.”</w:t>
      </w:r>
    </w:p>
    <w:p>
      <w:pPr>
        <w:spacing w:after="100"/>
      </w:pPr>
      <w:r>
        <w:rPr>
          <w:b w:val="0"/>
          <w:i w:val="0"/>
        </w:rPr>
        <w:t>The identity traditions help explain the depth of that voice. They should deepen remembrance, not become a reason to turn the samādhi into an argument over nomenclature.</w:t>
      </w:r>
    </w:p>
    <w:p>
      <w:pPr>
        <w:pStyle w:val="Heading1"/>
        <w:spacing w:after="120"/>
      </w:pPr>
      <w:r>
        <w:t>SCHOLARLY CONTROL APPARATUS</w:t>
      </w:r>
    </w:p>
    <w:p>
      <w:pPr>
        <w:pStyle w:val="Heading2"/>
        <w:spacing w:after="80"/>
      </w:pPr>
      <w:r>
        <w:rPr>
          <w:b w:val="0"/>
          <w:i w:val="0"/>
        </w:rPr>
        <w:t>1. Evidence map</w:t>
      </w:r>
    </w:p>
    <w:tbl>
      <w:tblPr>
        <w:tblStyle w:val="TableGrid"/>
        <w:tblW w:type="auto" w:w="0"/>
        <w:jc w:val="center"/>
        <w:tblLook w:firstColumn="1" w:firstRow="1" w:lastColumn="0" w:lastRow="0" w:noHBand="0" w:noVBand="1" w:val="04A0"/>
      </w:tblPr>
      <w:tblGrid>
        <w:gridCol w:w="2513"/>
        <w:gridCol w:w="2513"/>
        <w:gridCol w:w="2513"/>
        <w:gridCol w:w="2513"/>
      </w:tblGrid>
      <w:tr>
        <w:trPr>
          <w:cantSplit/>
          <w:tblHeader w:val="true"/>
        </w:trPr>
        <w:tc>
          <w:tcPr>
            <w:tcW w:type="dxa" w:w="2513"/>
            <w:shd w:fill="E9D8DD"/>
          </w:tcPr>
          <w:p>
            <w:r>
              <w:rPr>
                <w:b/>
              </w:rPr>
              <w:t>Claim</w:t>
            </w:r>
          </w:p>
        </w:tc>
        <w:tc>
          <w:tcPr>
            <w:tcW w:type="dxa" w:w="2513"/>
            <w:shd w:fill="E9D8DD"/>
          </w:tcPr>
          <w:p>
            <w:r>
              <w:rPr>
                <w:b/>
              </w:rPr>
              <w:t>Locus</w:t>
            </w:r>
          </w:p>
        </w:tc>
        <w:tc>
          <w:tcPr>
            <w:tcW w:type="dxa" w:w="2513"/>
            <w:shd w:fill="E9D8DD"/>
          </w:tcPr>
          <w:p>
            <w:r>
              <w:rPr>
                <w:b/>
              </w:rPr>
              <w:t>Layer</w:t>
            </w:r>
          </w:p>
        </w:tc>
        <w:tc>
          <w:tcPr>
            <w:tcW w:type="dxa" w:w="2513"/>
            <w:shd w:fill="E9D8DD"/>
          </w:tcPr>
          <w:p>
            <w:r>
              <w:rPr>
                <w:b/>
              </w:rPr>
              <w:t>Control</w:t>
            </w:r>
          </w:p>
        </w:tc>
      </w:tr>
      <w:tr>
        <w:trPr>
          <w:cantSplit/>
        </w:trPr>
        <w:tc>
          <w:tcPr>
            <w:tcW w:type="dxa" w:w="2513"/>
            <w:tcMar>
              <w:top w:w="48" w:type="dxa"/>
              <w:start w:w="48" w:type="dxa"/>
              <w:bottom w:w="48" w:type="dxa"/>
              <w:end w:w="48" w:type="dxa"/>
            </w:tcMar>
          </w:tcPr>
          <w:p>
            <w:r>
              <w:t>Rasa Mañjarī as first/former identity</w:t>
            </w:r>
          </w:p>
        </w:tc>
        <w:tc>
          <w:tcPr>
            <w:tcW w:type="dxa" w:w="2513"/>
            <w:tcMar>
              <w:top w:w="48" w:type="dxa"/>
              <w:start w:w="48" w:type="dxa"/>
              <w:bottom w:w="48" w:type="dxa"/>
              <w:end w:w="48" w:type="dxa"/>
            </w:tcMar>
          </w:tcPr>
          <w:p>
            <w:r>
              <w:t>Gaura-gaṇoddeśa-dīpikā 186</w:t>
            </w:r>
          </w:p>
        </w:tc>
        <w:tc>
          <w:tcPr>
            <w:tcW w:type="dxa" w:w="2513"/>
            <w:tcMar>
              <w:top w:w="48" w:type="dxa"/>
              <w:start w:w="48" w:type="dxa"/>
              <w:bottom w:w="48" w:type="dxa"/>
              <w:end w:w="48" w:type="dxa"/>
            </w:tcMar>
          </w:tcPr>
          <w:p>
            <w:r>
              <w:t>A3</w:t>
            </w:r>
          </w:p>
        </w:tc>
        <w:tc>
          <w:tcPr>
            <w:tcW w:type="dxa" w:w="2513"/>
            <w:tcMar>
              <w:top w:w="48" w:type="dxa"/>
              <w:start w:w="48" w:type="dxa"/>
              <w:bottom w:w="48" w:type="dxa"/>
              <w:end w:w="48" w:type="dxa"/>
            </w:tcMar>
          </w:tcPr>
          <w:p>
            <w:r>
              <w:t>Primary name given by the verse.</w:t>
            </w:r>
          </w:p>
        </w:tc>
      </w:tr>
      <w:tr>
        <w:trPr>
          <w:cantSplit/>
        </w:trPr>
        <w:tc>
          <w:tcPr>
            <w:tcW w:type="dxa" w:w="2513"/>
            <w:tcMar>
              <w:top w:w="48" w:type="dxa"/>
              <w:start w:w="48" w:type="dxa"/>
              <w:bottom w:w="48" w:type="dxa"/>
              <w:end w:w="48" w:type="dxa"/>
            </w:tcMar>
          </w:tcPr>
          <w:p>
            <w:r>
              <w:t>Rati Mañjarī variant</w:t>
            </w:r>
          </w:p>
        </w:tc>
        <w:tc>
          <w:tcPr>
            <w:tcW w:type="dxa" w:w="2513"/>
            <w:tcMar>
              <w:top w:w="48" w:type="dxa"/>
              <w:start w:w="48" w:type="dxa"/>
              <w:bottom w:w="48" w:type="dxa"/>
              <w:end w:w="48" w:type="dxa"/>
            </w:tcMar>
          </w:tcPr>
          <w:p>
            <w:r>
              <w:t>Gaura-gaṇoddeśa-dīpikā 186</w:t>
            </w:r>
          </w:p>
        </w:tc>
        <w:tc>
          <w:tcPr>
            <w:tcW w:type="dxa" w:w="2513"/>
            <w:tcMar>
              <w:top w:w="48" w:type="dxa"/>
              <w:start w:w="48" w:type="dxa"/>
              <w:bottom w:w="48" w:type="dxa"/>
              <w:end w:w="48" w:type="dxa"/>
            </w:tcMar>
          </w:tcPr>
          <w:p>
            <w:r>
              <w:t>A3</w:t>
            </w:r>
          </w:p>
        </w:tc>
        <w:tc>
          <w:tcPr>
            <w:tcW w:type="dxa" w:w="2513"/>
            <w:tcMar>
              <w:top w:w="48" w:type="dxa"/>
              <w:start w:w="48" w:type="dxa"/>
              <w:bottom w:w="48" w:type="dxa"/>
              <w:end w:w="48" w:type="dxa"/>
            </w:tcMar>
          </w:tcPr>
          <w:p>
            <w:r>
              <w:t>Explicit kecit — “some” tradition.</w:t>
            </w:r>
          </w:p>
        </w:tc>
      </w:tr>
      <w:tr>
        <w:trPr>
          <w:cantSplit/>
        </w:trPr>
        <w:tc>
          <w:tcPr>
            <w:tcW w:type="dxa" w:w="2513"/>
            <w:tcMar>
              <w:top w:w="48" w:type="dxa"/>
              <w:start w:w="48" w:type="dxa"/>
              <w:bottom w:w="48" w:type="dxa"/>
              <w:end w:w="48" w:type="dxa"/>
            </w:tcMar>
          </w:tcPr>
          <w:p>
            <w:r>
              <w:t>Bhānumatī variant</w:t>
            </w:r>
          </w:p>
        </w:tc>
        <w:tc>
          <w:tcPr>
            <w:tcW w:type="dxa" w:w="2513"/>
            <w:tcMar>
              <w:top w:w="48" w:type="dxa"/>
              <w:start w:w="48" w:type="dxa"/>
              <w:bottom w:w="48" w:type="dxa"/>
              <w:end w:w="48" w:type="dxa"/>
            </w:tcMar>
          </w:tcPr>
          <w:p>
            <w:r>
              <w:t>Gaura-gaṇoddeśa-dīpikā 186</w:t>
            </w:r>
          </w:p>
        </w:tc>
        <w:tc>
          <w:tcPr>
            <w:tcW w:type="dxa" w:w="2513"/>
            <w:tcMar>
              <w:top w:w="48" w:type="dxa"/>
              <w:start w:w="48" w:type="dxa"/>
              <w:bottom w:w="48" w:type="dxa"/>
              <w:end w:w="48" w:type="dxa"/>
            </w:tcMar>
          </w:tcPr>
          <w:p>
            <w:r>
              <w:t>A3</w:t>
            </w:r>
          </w:p>
        </w:tc>
        <w:tc>
          <w:tcPr>
            <w:tcW w:type="dxa" w:w="2513"/>
            <w:tcMar>
              <w:top w:w="48" w:type="dxa"/>
              <w:start w:w="48" w:type="dxa"/>
              <w:bottom w:w="48" w:type="dxa"/>
              <w:end w:w="48" w:type="dxa"/>
            </w:tcMar>
          </w:tcPr>
          <w:p>
            <w:r>
              <w:t>Explicit kecit — “others” tradition; verse ends nāma-bhedataḥ.</w:t>
            </w:r>
          </w:p>
        </w:tc>
      </w:tr>
      <w:tr>
        <w:trPr>
          <w:cantSplit/>
        </w:trPr>
        <w:tc>
          <w:tcPr>
            <w:tcW w:type="dxa" w:w="2513"/>
            <w:tcMar>
              <w:top w:w="48" w:type="dxa"/>
              <w:start w:w="48" w:type="dxa"/>
              <w:bottom w:w="48" w:type="dxa"/>
              <w:end w:w="48" w:type="dxa"/>
            </w:tcMar>
          </w:tcPr>
          <w:p>
            <w:r>
              <w:t>Rūpa Mañjarī as intimate addressee</w:t>
            </w:r>
          </w:p>
        </w:tc>
        <w:tc>
          <w:tcPr>
            <w:tcW w:type="dxa" w:w="2513"/>
            <w:tcMar>
              <w:top w:w="48" w:type="dxa"/>
              <w:start w:w="48" w:type="dxa"/>
              <w:bottom w:w="48" w:type="dxa"/>
              <w:end w:w="48" w:type="dxa"/>
            </w:tcMar>
          </w:tcPr>
          <w:p>
            <w:r>
              <w:t>Vilāpa-kusumāñjali 1</w:t>
            </w:r>
          </w:p>
        </w:tc>
        <w:tc>
          <w:tcPr>
            <w:tcW w:type="dxa" w:w="2513"/>
            <w:tcMar>
              <w:top w:w="48" w:type="dxa"/>
              <w:start w:w="48" w:type="dxa"/>
              <w:bottom w:w="48" w:type="dxa"/>
              <w:end w:w="48" w:type="dxa"/>
            </w:tcMar>
          </w:tcPr>
          <w:p>
            <w:r>
              <w:t>A1</w:t>
            </w:r>
          </w:p>
        </w:tc>
        <w:tc>
          <w:tcPr>
            <w:tcW w:type="dxa" w:w="2513"/>
            <w:tcMar>
              <w:top w:w="48" w:type="dxa"/>
              <w:start w:w="48" w:type="dxa"/>
              <w:bottom w:w="48" w:type="dxa"/>
              <w:end w:w="48" w:type="dxa"/>
            </w:tcMar>
          </w:tcPr>
          <w:p>
            <w:r>
              <w:t>Self-authored devotional orientation; not an explicit self-name.</w:t>
            </w:r>
          </w:p>
        </w:tc>
      </w:tr>
      <w:tr>
        <w:trPr>
          <w:cantSplit/>
        </w:trPr>
        <w:tc>
          <w:tcPr>
            <w:tcW w:type="dxa" w:w="2513"/>
            <w:tcMar>
              <w:top w:w="48" w:type="dxa"/>
              <w:start w:w="48" w:type="dxa"/>
              <w:bottom w:w="48" w:type="dxa"/>
              <w:end w:w="48" w:type="dxa"/>
            </w:tcMar>
          </w:tcPr>
          <w:p>
            <w:r>
              <w:t>Dāsī voice</w:t>
            </w:r>
          </w:p>
        </w:tc>
        <w:tc>
          <w:tcPr>
            <w:tcW w:type="dxa" w:w="2513"/>
            <w:tcMar>
              <w:top w:w="48" w:type="dxa"/>
              <w:start w:w="48" w:type="dxa"/>
              <w:bottom w:w="48" w:type="dxa"/>
              <w:end w:w="48" w:type="dxa"/>
            </w:tcMar>
          </w:tcPr>
          <w:p>
            <w:r>
              <w:t>Vilāpa-kusumāñjali 7</w:t>
            </w:r>
          </w:p>
        </w:tc>
        <w:tc>
          <w:tcPr>
            <w:tcW w:type="dxa" w:w="2513"/>
            <w:tcMar>
              <w:top w:w="48" w:type="dxa"/>
              <w:start w:w="48" w:type="dxa"/>
              <w:bottom w:w="48" w:type="dxa"/>
              <w:end w:w="48" w:type="dxa"/>
            </w:tcMar>
          </w:tcPr>
          <w:p>
            <w:r>
              <w:t>A1</w:t>
            </w:r>
          </w:p>
        </w:tc>
        <w:tc>
          <w:tcPr>
            <w:tcW w:type="dxa" w:w="2513"/>
            <w:tcMar>
              <w:top w:w="48" w:type="dxa"/>
              <w:start w:w="48" w:type="dxa"/>
              <w:bottom w:w="48" w:type="dxa"/>
              <w:end w:w="48" w:type="dxa"/>
            </w:tcMar>
          </w:tcPr>
          <w:p>
            <w:r>
              <w:t>Strongest self-authored genre evidence for intimate maidservant orientation.</w:t>
            </w:r>
          </w:p>
        </w:tc>
      </w:tr>
      <w:tr>
        <w:trPr>
          <w:cantSplit/>
        </w:trPr>
        <w:tc>
          <w:tcPr>
            <w:tcW w:type="dxa" w:w="2513"/>
            <w:tcMar>
              <w:top w:w="48" w:type="dxa"/>
              <w:start w:w="48" w:type="dxa"/>
              <w:bottom w:w="48" w:type="dxa"/>
              <w:end w:w="48" w:type="dxa"/>
            </w:tcMar>
          </w:tcPr>
          <w:p>
            <w:r>
              <w:t>Rādhā-dāsya / Rādhā-kuṇḍa shelter</w:t>
            </w:r>
          </w:p>
        </w:tc>
        <w:tc>
          <w:tcPr>
            <w:tcW w:type="dxa" w:w="2513"/>
            <w:tcMar>
              <w:top w:w="48" w:type="dxa"/>
              <w:start w:w="48" w:type="dxa"/>
              <w:bottom w:w="48" w:type="dxa"/>
              <w:end w:w="48" w:type="dxa"/>
            </w:tcMar>
          </w:tcPr>
          <w:p>
            <w:r>
              <w:t>Rādhā-kuṇḍāṣṭaka 5; VK 96–97</w:t>
            </w:r>
          </w:p>
        </w:tc>
        <w:tc>
          <w:tcPr>
            <w:tcW w:type="dxa" w:w="2513"/>
            <w:tcMar>
              <w:top w:w="48" w:type="dxa"/>
              <w:start w:w="48" w:type="dxa"/>
              <w:bottom w:w="48" w:type="dxa"/>
              <w:end w:w="48" w:type="dxa"/>
            </w:tcMar>
          </w:tcPr>
          <w:p>
            <w:r>
              <w:t>A1</w:t>
            </w:r>
          </w:p>
        </w:tc>
        <w:tc>
          <w:tcPr>
            <w:tcW w:type="dxa" w:w="2513"/>
            <w:tcMar>
              <w:top w:w="48" w:type="dxa"/>
              <w:start w:w="48" w:type="dxa"/>
              <w:bottom w:w="48" w:type="dxa"/>
              <w:end w:w="48" w:type="dxa"/>
            </w:tcMar>
          </w:tcPr>
          <w:p>
            <w:r>
              <w:t>Positive theological center; independent of resolving the identity-name variants.</w:t>
            </w:r>
          </w:p>
        </w:tc>
      </w:tr>
      <w:tr>
        <w:trPr>
          <w:cantSplit/>
        </w:trPr>
        <w:tc>
          <w:tcPr>
            <w:tcW w:type="dxa" w:w="2513"/>
            <w:tcMar>
              <w:top w:w="48" w:type="dxa"/>
              <w:start w:w="48" w:type="dxa"/>
              <w:bottom w:w="48" w:type="dxa"/>
              <w:end w:w="48" w:type="dxa"/>
            </w:tcMar>
          </w:tcPr>
          <w:p>
            <w:r>
              <w:t>Tulasī as intimate servant/messenger</w:t>
            </w:r>
          </w:p>
        </w:tc>
        <w:tc>
          <w:tcPr>
            <w:tcW w:type="dxa" w:w="2513"/>
            <w:tcMar>
              <w:top w:w="48" w:type="dxa"/>
              <w:start w:w="48" w:type="dxa"/>
              <w:bottom w:w="48" w:type="dxa"/>
              <w:end w:w="48" w:type="dxa"/>
            </w:tcMar>
          </w:tcPr>
          <w:p>
            <w:r>
              <w:t>Govinda-līlāmṛta 5.78; 15.136, 141–142</w:t>
            </w:r>
          </w:p>
        </w:tc>
        <w:tc>
          <w:tcPr>
            <w:tcW w:type="dxa" w:w="2513"/>
            <w:tcMar>
              <w:top w:w="48" w:type="dxa"/>
              <w:start w:w="48" w:type="dxa"/>
              <w:bottom w:w="48" w:type="dxa"/>
              <w:end w:w="48" w:type="dxa"/>
            </w:tcMar>
          </w:tcPr>
          <w:p>
            <w:r>
              <w:t>A-primary līlā text</w:t>
            </w:r>
          </w:p>
        </w:tc>
        <w:tc>
          <w:tcPr>
            <w:tcW w:type="dxa" w:w="2513"/>
            <w:tcMar>
              <w:top w:w="48" w:type="dxa"/>
              <w:start w:w="48" w:type="dxa"/>
              <w:bottom w:w="48" w:type="dxa"/>
              <w:end w:w="48" w:type="dxa"/>
            </w:tcMar>
          </w:tcPr>
          <w:p>
            <w:r>
              <w:t>Role secure; equation with Rati/Bhānumatī not yet primary-text secure.</w:t>
            </w:r>
          </w:p>
        </w:tc>
      </w:tr>
      <w:tr>
        <w:trPr>
          <w:cantSplit/>
        </w:trPr>
        <w:tc>
          <w:tcPr>
            <w:tcW w:type="dxa" w:w="2513"/>
            <w:tcMar>
              <w:top w:w="48" w:type="dxa"/>
              <w:start w:w="48" w:type="dxa"/>
              <w:bottom w:w="48" w:type="dxa"/>
              <w:end w:w="48" w:type="dxa"/>
            </w:tcMar>
          </w:tcPr>
          <w:p>
            <w:r>
              <w:t>Tulasī = Rati = Bhānumatī</w:t>
            </w:r>
          </w:p>
        </w:tc>
        <w:tc>
          <w:tcPr>
            <w:tcW w:type="dxa" w:w="2513"/>
            <w:tcMar>
              <w:top w:w="48" w:type="dxa"/>
              <w:start w:w="48" w:type="dxa"/>
              <w:bottom w:w="48" w:type="dxa"/>
              <w:end w:w="48" w:type="dxa"/>
            </w:tcMar>
          </w:tcPr>
          <w:p>
            <w:r>
              <w:t>Later printed/commentarial tradition</w:t>
            </w:r>
          </w:p>
        </w:tc>
        <w:tc>
          <w:tcPr>
            <w:tcW w:type="dxa" w:w="2513"/>
            <w:tcMar>
              <w:top w:w="48" w:type="dxa"/>
              <w:start w:w="48" w:type="dxa"/>
              <w:bottom w:w="48" w:type="dxa"/>
              <w:end w:w="48" w:type="dxa"/>
            </w:tcMar>
          </w:tcPr>
          <w:p>
            <w:r>
              <w:t>C / genealogy open</w:t>
            </w:r>
          </w:p>
        </w:tc>
        <w:tc>
          <w:tcPr>
            <w:tcW w:type="dxa" w:w="2513"/>
            <w:tcMar>
              <w:top w:w="48" w:type="dxa"/>
              <w:start w:w="48" w:type="dxa"/>
              <w:bottom w:w="48" w:type="dxa"/>
              <w:end w:w="48" w:type="dxa"/>
            </w:tcMar>
          </w:tcPr>
          <w:p>
            <w:r>
              <w:t>Do not use as automatic substitution rule.</w:t>
            </w:r>
          </w:p>
        </w:tc>
      </w:tr>
    </w:tbl>
    <w:p/>
    <w:p>
      <w:pPr>
        <w:pStyle w:val="Heading2"/>
        <w:spacing w:after="80"/>
      </w:pPr>
      <w:r>
        <w:rPr>
          <w:b w:val="0"/>
          <w:i w:val="0"/>
        </w:rPr>
        <w:t>2. Publication controls</w:t>
      </w:r>
    </w:p>
    <w:p>
      <w:pPr>
        <w:spacing w:after="80"/>
        <w:ind w:left="259" w:hanging="173"/>
      </w:pPr>
      <w:r>
        <w:rPr>
          <w:b/>
        </w:rPr>
        <w:t xml:space="preserve">• </w:t>
      </w:r>
      <w:r>
        <w:t>Always quote or paraphrase all three names when presenting Gaura-gaṇoddeśa-dīpikā 186 in a source-critical context.</w:t>
      </w:r>
    </w:p>
    <w:p>
      <w:pPr>
        <w:spacing w:after="80"/>
        <w:ind w:left="259" w:hanging="173"/>
      </w:pPr>
      <w:r>
        <w:rPr>
          <w:b/>
        </w:rPr>
        <w:t xml:space="preserve">• </w:t>
      </w:r>
      <w:r>
        <w:t>Do not write that Kavi Karṇapūra 'contradicts himself' without manuscript and textual analysis; the work explicitly preserves nāma-bheda and multiple 'some say' traditions.</w:t>
      </w:r>
    </w:p>
    <w:p>
      <w:pPr>
        <w:spacing w:after="80"/>
        <w:ind w:left="259" w:hanging="173"/>
      </w:pPr>
      <w:r>
        <w:rPr>
          <w:b/>
        </w:rPr>
        <w:t xml:space="preserve">• </w:t>
      </w:r>
      <w:r>
        <w:t>Do not infer a detailed Bhānumatī service identity from GGD 186 alone.</w:t>
      </w:r>
    </w:p>
    <w:p>
      <w:pPr>
        <w:spacing w:after="80"/>
        <w:ind w:left="259" w:hanging="173"/>
      </w:pPr>
      <w:r>
        <w:rPr>
          <w:b/>
        </w:rPr>
        <w:t xml:space="preserve">• </w:t>
      </w:r>
      <w:r>
        <w:t>Do not use Raghunātha’s dāsī voice in Vilāpa-kusumāñjali as proof of one specific name while ignoring the A3 identity verse.</w:t>
      </w:r>
    </w:p>
    <w:p>
      <w:pPr>
        <w:spacing w:after="80"/>
        <w:ind w:left="259" w:hanging="173"/>
      </w:pPr>
      <w:r>
        <w:rPr>
          <w:b/>
        </w:rPr>
        <w:t xml:space="preserve">• </w:t>
      </w:r>
      <w:r>
        <w:t>Do not equate Tulasī Mañjarī with Raghunātha automatically until the textual genealogy is fully traced.</w:t>
      </w:r>
    </w:p>
    <w:p>
      <w:pPr>
        <w:spacing w:after="80"/>
        <w:ind w:left="259" w:hanging="173"/>
      </w:pPr>
      <w:r>
        <w:rPr>
          <w:b/>
        </w:rPr>
        <w:t xml:space="preserve">• </w:t>
      </w:r>
      <w:r>
        <w:t>Lineage-specific devotional nomenclature may be honored, but label it as lineage usage when it narrows the wider early source tradition.</w:t>
      </w:r>
    </w:p>
    <w:p>
      <w:pPr>
        <w:pStyle w:val="Heading2"/>
        <w:spacing w:after="80"/>
      </w:pPr>
      <w:r>
        <w:rPr>
          <w:b w:val="0"/>
          <w:i w:val="0"/>
        </w:rPr>
        <w:t>3. Remaining verification work</w:t>
      </w:r>
    </w:p>
    <w:p>
      <w:pPr>
        <w:spacing w:after="80"/>
        <w:ind w:left="259" w:hanging="173"/>
      </w:pPr>
      <w:r>
        <w:rPr>
          <w:b/>
        </w:rPr>
        <w:t xml:space="preserve">• </w:t>
      </w:r>
      <w:r>
        <w:t>Collate Gaura-gaṇoddeśa-dīpikā 181 and 186 against a reliable Sanskrit printed edition and, if possible, manuscript witnesses.</w:t>
      </w:r>
    </w:p>
    <w:p>
      <w:pPr>
        <w:spacing w:after="80"/>
        <w:ind w:left="259" w:hanging="173"/>
      </w:pPr>
      <w:r>
        <w:rPr>
          <w:b/>
        </w:rPr>
        <w:t xml:space="preserve">• </w:t>
      </w:r>
      <w:r>
        <w:t>Verify the exact scope of nāma-bhedataḥ syntactically in verse 186.</w:t>
      </w:r>
    </w:p>
    <w:p>
      <w:pPr>
        <w:spacing w:after="80"/>
        <w:ind w:left="259" w:hanging="173"/>
      </w:pPr>
      <w:r>
        <w:rPr>
          <w:b/>
        </w:rPr>
        <w:t xml:space="preserve">• </w:t>
      </w:r>
      <w:r>
        <w:t>Trace the oldest source that explicitly equates Tulasī Mañjarī with Rati Mañjarī and/or Bhānumatī.</w:t>
      </w:r>
    </w:p>
    <w:p>
      <w:pPr>
        <w:spacing w:after="80"/>
        <w:ind w:left="259" w:hanging="173"/>
      </w:pPr>
      <w:r>
        <w:rPr>
          <w:b/>
        </w:rPr>
        <w:t xml:space="preserve">• </w:t>
      </w:r>
      <w:r>
        <w:t>Separate lineage commentarial identifications from primary Gosvāmī-text identifications.</w:t>
      </w:r>
    </w:p>
    <w:p>
      <w:pPr>
        <w:spacing w:after="80"/>
        <w:ind w:left="259" w:hanging="173"/>
      </w:pPr>
      <w:r>
        <w:rPr>
          <w:b/>
        </w:rPr>
        <w:t xml:space="preserve">• </w:t>
      </w:r>
      <w:r>
        <w:t>When the final biography is assembled, keep this material as an appendix/short note rather than inserting it into the chronological life narrative.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RDGB-A04 • Final v1.0 • 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RDGB-A04 — Rasa Mañjarī, Rati Mañjarī and Bhānumatī — Final v1.0</dc:title>
  <dc:subject>Govardhana Pilgrimage - Raghunatha Dasa Gosvami</dc:subject>
  <dc:creator>Govardhana Pilgrimage Project</dc:creator>
  <cp:keywords>Raghunatha Dasa Gosvami; Radha-kunda; Govardhana; Gaudiya Vaisnavism</cp:keywords>
  <dc:description>Final v1.0 - source-critical scholarly-devotional edition</dc:description>
  <cp:lastModifiedBy>Govardhana Pilgrimage Project</cp:lastModifiedBy>
  <cp:revision>1</cp:revision>
  <dcterms:created xsi:type="dcterms:W3CDTF">2013-12-23T23:15:00Z</dcterms:created>
  <dcterms:modified xsi:type="dcterms:W3CDTF">2013-12-23T23:15:00Z</dcterms:modified>
  <cp:category/>
</cp:coreProperties>
</file>