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Raghunātha dāsa Gosvāmī Research Series</w:t>
      </w:r>
    </w:p>
    <w:p>
      <w:pPr>
        <w:jc w:val="center"/>
      </w:pPr>
      <w:r>
        <w:rPr>
          <w:b/>
          <w:color w:val="7B2638"/>
          <w:sz w:val="54"/>
        </w:rPr>
        <w:t>RDG-R01</w:t>
      </w:r>
    </w:p>
    <w:p>
      <w:pPr>
        <w:pStyle w:val="Title"/>
        <w:jc w:val="center"/>
      </w:pPr>
      <w:r>
        <w:t>Raghunātha dāsa Gosvāmī</w:t>
      </w:r>
    </w:p>
    <w:p>
      <w:pPr>
        <w:pStyle w:val="Subtitle"/>
        <w:jc w:val="center"/>
      </w:pPr>
      <w:r>
        <w:t>Biographical Source Ledger: synchronized control for RDGB-01–18 and RDGB-A01–A04</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rPr>
              <w:t>PURPOSE  This is the master source-control ledger for the completed draft Raghunātha dāsa Gosvāmī biography (RDGB-01–18) and its four core appendices (RDGB-A01–A04). It separates Raghunātha’s own writings, Kṛṣṇadāsa Kavirāja’s first-generation testimony, early Vraja pilgrimage memory, later/local tradition, and historical documents. It now records the decisions actually used in the drafted biography rather than a proposed future research program.</w:t>
            </w:r>
          </w:p>
        </w:tc>
      </w:tr>
    </w:tbl>
    <w:tbl>
      <w:tblPr>
        <w:tblW w:type="auto" w:w="0"/>
        <w:jc w:val="center"/>
        <w:tblLook w:firstColumn="1" w:firstRow="1" w:lastColumn="0" w:lastRow="0" w:noHBand="0" w:noVBand="1" w:val="04A0"/>
      </w:tblPr>
      <w:tblGrid>
        <w:gridCol w:w="10166"/>
      </w:tblGrid>
      <w:tr>
        <w:trPr>
          <w:cantSplit w:val="1"/>
        </w:trPr>
        <w:tc>
          <w:tcPr>
            <w:tcW w:type="dxa" w:w="10166"/>
            <w:shd w:fill="F3EBDD"/>
            <w:tcMar>
              <w:top w:w="110" w:type="dxa"/>
              <w:start w:w="150" w:type="dxa"/>
              <w:bottom w:w="110" w:type="dxa"/>
              <w:end w:w="150" w:type="dxa"/>
            </w:tcMar>
          </w:tcPr>
          <w:p>
            <w:r>
              <w:rPr>
                <w:b/>
              </w:rPr>
              <w:t>CHRONOLOGY CONTROL  RDG-R02 Final v1.0 and RDGB-A02 control absolute-date language. The 1584 Sanskrit death-bed settlement is the strongest fixed late-life documentary horizon presently recovered. The 2 June 1588 hiba record is a real later legal datum but is not, by itself, proof that Raghunātha was personally alive on that date. The exact disappearance year remains unresolved and should remain so in the final biography unless the documentary relationship is genuinely clarified.</w:t>
            </w:r>
          </w:p>
        </w:tc>
      </w:tr>
    </w:tbl>
    <w:p>
      <w:r>
        <w:br w:type="page"/>
      </w:r>
    </w:p>
    <w:p>
      <w:pPr>
        <w:pStyle w:val="Heading1"/>
        <w:keepNext w:val="1"/>
        <w:keepLines w:val="1"/>
      </w:pPr>
      <w:r>
        <w:t>1. Executive research ruling</w:t>
      </w:r>
    </w:p>
    <w:p>
      <w:r>
        <w:t>Raghunātha dāsa Gosvāmī can be reconstructed with unusual depth because several evidence streams converge. His own Sanskrit writings reveal his devotional self-understanding; Caitanya-caritāmṛta gives an extensive life narrative and explicitly claims a Svarūpa Dāmodara → Raghunātha → Kṛṣṇadāsa transmission chain; Bhakti-ratnākara preserves early Vraja memory of his Rādhā-kuṇḍa residence, restoration activity and reception of later pilgrims; and Mughal-period property documents place his name inside the legal and physical history of Āriṭ/Rādhā-kuṇḍa.</w:t>
      </w:r>
    </w:p>
    <w:p>
      <w:r>
        <w:t>The drafted biography therefore does not reduce him to one motif. He was not merely 'the most renounced Gosvāmī.' The completed narrative presents him simultaneously as a wealthy Bengal heir who learned inward detachment before external renunciation; a recipient of Haridāsa Ṭhākura’s mercy; a beneficiary of Nityānanda’s Pānihāṭi blessing; Svarūpa Dāmodara’s Raghunātha; an eyewitness and transmitter of Mahāprabhu’s final līlā; a poet of Rādhā-dāsya; a Govardhana-śilā worshiper; a resident elder and sevaka of Rādhā-kuṇḍa; and a formative source of memory for Kṛṣṇadāsa Kavirāja and the next Gauḍīya generation.</w:t>
      </w:r>
    </w:p>
    <w:p>
      <w:pPr>
        <w:pStyle w:val="Heading1"/>
        <w:keepNext w:val="1"/>
        <w:keepLines w:val="1"/>
      </w:pPr>
      <w:r>
        <w:t>2. Source hierarchy for the biography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7B2638"/>
            <w:tcMar>
              <w:top w:w="60" w:type="dxa"/>
              <w:start w:w="70" w:type="dxa"/>
              <w:bottom w:w="60" w:type="dxa"/>
              <w:end w:w="70" w:type="dxa"/>
            </w:tcMar>
          </w:tcPr>
          <w:p>
            <w:r>
              <w:rPr>
                <w:b/>
                <w:color w:val="FFFFFF"/>
              </w:rPr>
              <w:t>Layer</w:t>
            </w:r>
          </w:p>
        </w:tc>
        <w:tc>
          <w:tcPr>
            <w:tcW w:type="dxa" w:w="2541"/>
            <w:shd w:fill="7B2638"/>
            <w:tcMar>
              <w:top w:w="60" w:type="dxa"/>
              <w:start w:w="70" w:type="dxa"/>
              <w:bottom w:w="60" w:type="dxa"/>
              <w:end w:w="70" w:type="dxa"/>
            </w:tcMar>
          </w:tcPr>
          <w:p>
            <w:r>
              <w:rPr>
                <w:b/>
                <w:color w:val="FFFFFF"/>
              </w:rPr>
              <w:t>Witness</w:t>
            </w:r>
          </w:p>
        </w:tc>
        <w:tc>
          <w:tcPr>
            <w:tcW w:type="dxa" w:w="2541"/>
            <w:shd w:fill="7B2638"/>
            <w:tcMar>
              <w:top w:w="60" w:type="dxa"/>
              <w:start w:w="70" w:type="dxa"/>
              <w:bottom w:w="60" w:type="dxa"/>
              <w:end w:w="70" w:type="dxa"/>
            </w:tcMar>
          </w:tcPr>
          <w:p>
            <w:r>
              <w:rPr>
                <w:b/>
                <w:color w:val="FFFFFF"/>
              </w:rPr>
              <w:t>Use</w:t>
            </w:r>
          </w:p>
        </w:tc>
        <w:tc>
          <w:tcPr>
            <w:tcW w:type="dxa" w:w="2541"/>
            <w:shd w:fill="7B2638"/>
            <w:tcMar>
              <w:top w:w="60" w:type="dxa"/>
              <w:start w:w="70" w:type="dxa"/>
              <w:bottom w:w="60" w:type="dxa"/>
              <w:end w:w="70" w:type="dxa"/>
            </w:tcMar>
          </w:tcPr>
          <w:p>
            <w:r>
              <w:rPr>
                <w:b/>
                <w:color w:val="FFFFFF"/>
              </w:rPr>
              <w:t>Boundary</w:t>
            </w:r>
          </w:p>
        </w:tc>
      </w:tr>
      <w:tr>
        <w:trPr>
          <w:cantSplit w:val="1"/>
        </w:trPr>
        <w:tc>
          <w:tcPr>
            <w:tcW w:type="dxa" w:w="2541"/>
            <w:tcMar>
              <w:top w:w="55" w:type="dxa"/>
              <w:start w:w="65" w:type="dxa"/>
              <w:bottom w:w="55" w:type="dxa"/>
              <w:end w:w="65" w:type="dxa"/>
            </w:tcMar>
            <w:vAlign w:val="top"/>
          </w:tcPr>
          <w:p>
            <w:r>
              <w:t>A1 — Self-authored</w:t>
            </w:r>
          </w:p>
        </w:tc>
        <w:tc>
          <w:tcPr>
            <w:tcW w:type="dxa" w:w="2541"/>
            <w:tcMar>
              <w:top w:w="55" w:type="dxa"/>
              <w:start w:w="65" w:type="dxa"/>
              <w:bottom w:w="55" w:type="dxa"/>
              <w:end w:w="65" w:type="dxa"/>
            </w:tcMar>
            <w:vAlign w:val="top"/>
          </w:tcPr>
          <w:p>
            <w:r>
              <w:t>Raghunātha’s Stavāvalī corpus; Gaurāṅga-stava-kalpavṛkṣa; Manaḥ-śikṣā; Govardhana prayers; Rādhā-kuṇḍāṣṭaka; Vilāpa-kusumāñjali; Vraja-vilāsa-stava; Muktā-carita</w:t>
            </w:r>
          </w:p>
        </w:tc>
        <w:tc>
          <w:tcPr>
            <w:tcW w:type="dxa" w:w="2541"/>
            <w:tcMar>
              <w:top w:w="55" w:type="dxa"/>
              <w:start w:w="65" w:type="dxa"/>
              <w:bottom w:w="55" w:type="dxa"/>
              <w:end w:w="65" w:type="dxa"/>
            </w:tcMar>
            <w:vAlign w:val="top"/>
          </w:tcPr>
          <w:p>
            <w:r>
              <w:t>Devotional autobiography, inner orientation, named relationships, residence-prayer, sacred geography, personal memory of Mahāprabhu.</w:t>
            </w:r>
          </w:p>
        </w:tc>
        <w:tc>
          <w:tcPr>
            <w:tcW w:type="dxa" w:w="2541"/>
            <w:tcMar>
              <w:top w:w="55" w:type="dxa"/>
              <w:start w:w="65" w:type="dxa"/>
              <w:bottom w:w="55" w:type="dxa"/>
              <w:end w:w="65" w:type="dxa"/>
            </w:tcMar>
            <w:vAlign w:val="top"/>
          </w:tcPr>
          <w:p>
            <w:r>
              <w:t>Poetic prayer is not a neutral chronological diary; autobiographical statements must be read in genre.</w:t>
            </w:r>
          </w:p>
        </w:tc>
      </w:tr>
      <w:tr>
        <w:trPr>
          <w:cantSplit w:val="1"/>
        </w:trPr>
        <w:tc>
          <w:tcPr>
            <w:tcW w:type="dxa" w:w="2541"/>
            <w:tcMar>
              <w:top w:w="55" w:type="dxa"/>
              <w:start w:w="65" w:type="dxa"/>
              <w:bottom w:w="55" w:type="dxa"/>
              <w:end w:w="65" w:type="dxa"/>
            </w:tcMar>
            <w:vAlign w:val="top"/>
          </w:tcPr>
          <w:p>
            <w:r>
              <w:t>A2 — First-generation Gauḍīya narrative</w:t>
            </w:r>
          </w:p>
        </w:tc>
        <w:tc>
          <w:tcPr>
            <w:tcW w:type="dxa" w:w="2541"/>
            <w:tcMar>
              <w:top w:w="55" w:type="dxa"/>
              <w:start w:w="65" w:type="dxa"/>
              <w:bottom w:w="55" w:type="dxa"/>
              <w:end w:w="65" w:type="dxa"/>
            </w:tcMar>
            <w:vAlign w:val="top"/>
          </w:tcPr>
          <w:p>
            <w:r>
              <w:t>Kṛṣṇadāsa Kavirāja, Caitanya-caritāmṛta</w:t>
            </w:r>
          </w:p>
        </w:tc>
        <w:tc>
          <w:tcPr>
            <w:tcW w:type="dxa" w:w="2541"/>
            <w:tcMar>
              <w:top w:w="55" w:type="dxa"/>
              <w:start w:w="65" w:type="dxa"/>
              <w:bottom w:w="55" w:type="dxa"/>
              <w:end w:w="65" w:type="dxa"/>
            </w:tcMar>
            <w:vAlign w:val="top"/>
          </w:tcPr>
          <w:p>
            <w:r>
              <w:t>Main biographical spine: childhood context, Śāntipura, Pānihāṭi, escape, Purī, Svarūpa, renunciation, Govardhana-śilā, later Vraja sādhana; direct transmission claims.</w:t>
            </w:r>
          </w:p>
        </w:tc>
        <w:tc>
          <w:tcPr>
            <w:tcW w:type="dxa" w:w="2541"/>
            <w:tcMar>
              <w:top w:w="55" w:type="dxa"/>
              <w:start w:w="65" w:type="dxa"/>
              <w:bottom w:w="55" w:type="dxa"/>
              <w:end w:w="65" w:type="dxa"/>
            </w:tcMar>
            <w:vAlign w:val="top"/>
          </w:tcPr>
          <w:p>
            <w:r>
              <w:t>Written later than the events; dates supplied in later purports/commentaries are not automatically the wording of the Bengali root text.</w:t>
            </w:r>
          </w:p>
        </w:tc>
      </w:tr>
      <w:tr>
        <w:trPr>
          <w:cantSplit w:val="1"/>
        </w:trPr>
        <w:tc>
          <w:tcPr>
            <w:tcW w:type="dxa" w:w="2541"/>
            <w:tcMar>
              <w:top w:w="55" w:type="dxa"/>
              <w:start w:w="65" w:type="dxa"/>
              <w:bottom w:w="55" w:type="dxa"/>
              <w:end w:w="65" w:type="dxa"/>
            </w:tcMar>
            <w:vAlign w:val="top"/>
          </w:tcPr>
          <w:p>
            <w:r>
              <w:t>A3 — Early identity / cross-witness</w:t>
            </w:r>
          </w:p>
        </w:tc>
        <w:tc>
          <w:tcPr>
            <w:tcW w:type="dxa" w:w="2541"/>
            <w:tcMar>
              <w:top w:w="55" w:type="dxa"/>
              <w:start w:w="65" w:type="dxa"/>
              <w:bottom w:w="55" w:type="dxa"/>
              <w:end w:w="65" w:type="dxa"/>
            </w:tcMar>
            <w:vAlign w:val="top"/>
          </w:tcPr>
          <w:p>
            <w:r>
              <w:t>Kavi Karṇapūra, Gaura-gaṇoddeśa-dīpikā 186; other Gosvāmī-era references</w:t>
            </w:r>
          </w:p>
        </w:tc>
        <w:tc>
          <w:tcPr>
            <w:tcW w:type="dxa" w:w="2541"/>
            <w:tcMar>
              <w:top w:w="55" w:type="dxa"/>
              <w:start w:w="65" w:type="dxa"/>
              <w:bottom w:w="55" w:type="dxa"/>
              <w:end w:w="65" w:type="dxa"/>
            </w:tcMar>
            <w:vAlign w:val="top"/>
          </w:tcPr>
          <w:p>
            <w:r>
              <w:t>Early theological identity and placement within the Caitanya/Gosvāmī world.</w:t>
            </w:r>
          </w:p>
        </w:tc>
        <w:tc>
          <w:tcPr>
            <w:tcW w:type="dxa" w:w="2541"/>
            <w:tcMar>
              <w:top w:w="55" w:type="dxa"/>
              <w:start w:w="65" w:type="dxa"/>
              <w:bottom w:w="55" w:type="dxa"/>
              <w:end w:w="65" w:type="dxa"/>
            </w:tcMar>
            <w:vAlign w:val="top"/>
          </w:tcPr>
          <w:p>
            <w:r>
              <w:t>Identity traditions are theological hagiography, not civil biography.</w:t>
            </w:r>
          </w:p>
        </w:tc>
      </w:tr>
      <w:tr>
        <w:trPr>
          <w:cantSplit w:val="1"/>
        </w:trPr>
        <w:tc>
          <w:tcPr>
            <w:tcW w:type="dxa" w:w="2541"/>
            <w:tcMar>
              <w:top w:w="55" w:type="dxa"/>
              <w:start w:w="65" w:type="dxa"/>
              <w:bottom w:w="55" w:type="dxa"/>
              <w:end w:w="65" w:type="dxa"/>
            </w:tcMar>
            <w:vAlign w:val="top"/>
          </w:tcPr>
          <w:p>
            <w:r>
              <w:t>B — Early Vraja pilgrimage memory</w:t>
            </w:r>
          </w:p>
        </w:tc>
        <w:tc>
          <w:tcPr>
            <w:tcW w:type="dxa" w:w="2541"/>
            <w:tcMar>
              <w:top w:w="55" w:type="dxa"/>
              <w:start w:w="65" w:type="dxa"/>
              <w:bottom w:w="55" w:type="dxa"/>
              <w:end w:w="65" w:type="dxa"/>
            </w:tcMar>
            <w:vAlign w:val="top"/>
          </w:tcPr>
          <w:p>
            <w:r>
              <w:t>Narahari Cakravartī, Bhakti-ratnākara; related early Vaiṣṇava memory</w:t>
            </w:r>
          </w:p>
        </w:tc>
        <w:tc>
          <w:tcPr>
            <w:tcW w:type="dxa" w:w="2541"/>
            <w:tcMar>
              <w:top w:w="55" w:type="dxa"/>
              <w:start w:w="65" w:type="dxa"/>
              <w:bottom w:w="55" w:type="dxa"/>
              <w:end w:w="65" w:type="dxa"/>
            </w:tcMar>
            <w:vAlign w:val="top"/>
          </w:tcPr>
          <w:p>
            <w:r>
              <w:t>Rādhā-kuṇḍa restoration, first-kuṭīra story, advanced age, later pilgrims, community role, book-list memory.</w:t>
            </w:r>
          </w:p>
        </w:tc>
        <w:tc>
          <w:tcPr>
            <w:tcW w:type="dxa" w:w="2541"/>
            <w:tcMar>
              <w:top w:w="55" w:type="dxa"/>
              <w:start w:w="65" w:type="dxa"/>
              <w:bottom w:w="55" w:type="dxa"/>
              <w:end w:w="65" w:type="dxa"/>
            </w:tcMar>
            <w:vAlign w:val="top"/>
          </w:tcPr>
          <w:p>
            <w:r>
              <w:t>Later than Raghunātha; devotional historiography must not be turned into archaeology.</w:t>
            </w:r>
          </w:p>
        </w:tc>
      </w:tr>
      <w:tr>
        <w:trPr>
          <w:cantSplit w:val="1"/>
        </w:trPr>
        <w:tc>
          <w:tcPr>
            <w:tcW w:type="dxa" w:w="2541"/>
            <w:tcMar>
              <w:top w:w="55" w:type="dxa"/>
              <w:start w:w="65" w:type="dxa"/>
              <w:bottom w:w="55" w:type="dxa"/>
              <w:end w:w="65" w:type="dxa"/>
            </w:tcMar>
            <w:vAlign w:val="top"/>
          </w:tcPr>
          <w:p>
            <w:r>
              <w:t>C — Later/local tradition</w:t>
            </w:r>
          </w:p>
        </w:tc>
        <w:tc>
          <w:tcPr>
            <w:tcW w:type="dxa" w:w="2541"/>
            <w:tcMar>
              <w:top w:w="55" w:type="dxa"/>
              <w:start w:w="65" w:type="dxa"/>
              <w:bottom w:w="55" w:type="dxa"/>
              <w:end w:w="65" w:type="dxa"/>
            </w:tcMar>
            <w:vAlign w:val="top"/>
          </w:tcPr>
          <w:p>
            <w:r>
              <w:t>Ananta Dāsa Bābājī; modern Rādhā-kuṇḍa traditions; calendars; pilgrimage guides</w:t>
            </w:r>
          </w:p>
        </w:tc>
        <w:tc>
          <w:tcPr>
            <w:tcW w:type="dxa" w:w="2541"/>
            <w:tcMar>
              <w:top w:w="55" w:type="dxa"/>
              <w:start w:w="65" w:type="dxa"/>
              <w:bottom w:w="55" w:type="dxa"/>
              <w:end w:w="65" w:type="dxa"/>
            </w:tcMar>
            <w:vAlign w:val="top"/>
          </w:tcPr>
          <w:p>
            <w:r>
              <w:t>Reception, local memorials, festival practice, later chronological conventions.</w:t>
            </w:r>
          </w:p>
        </w:tc>
        <w:tc>
          <w:tcPr>
            <w:tcW w:type="dxa" w:w="2541"/>
            <w:tcMar>
              <w:top w:w="55" w:type="dxa"/>
              <w:start w:w="65" w:type="dxa"/>
              <w:bottom w:w="55" w:type="dxa"/>
              <w:end w:w="65" w:type="dxa"/>
            </w:tcMar>
            <w:vAlign w:val="top"/>
          </w:tcPr>
          <w:p>
            <w:r>
              <w:t>Useful but never allowed to overwrite A/B/D evidence.</w:t>
            </w:r>
          </w:p>
        </w:tc>
      </w:tr>
      <w:tr>
        <w:trPr>
          <w:cantSplit w:val="1"/>
        </w:trPr>
        <w:tc>
          <w:tcPr>
            <w:tcW w:type="dxa" w:w="2541"/>
            <w:tcMar>
              <w:top w:w="55" w:type="dxa"/>
              <w:start w:w="65" w:type="dxa"/>
              <w:bottom w:w="55" w:type="dxa"/>
              <w:end w:w="65" w:type="dxa"/>
            </w:tcMar>
            <w:vAlign w:val="top"/>
          </w:tcPr>
          <w:p>
            <w:r>
              <w:t>D — Historical/documentary</w:t>
            </w:r>
          </w:p>
        </w:tc>
        <w:tc>
          <w:tcPr>
            <w:tcW w:type="dxa" w:w="2541"/>
            <w:tcMar>
              <w:top w:w="55" w:type="dxa"/>
              <w:start w:w="65" w:type="dxa"/>
              <w:bottom w:w="55" w:type="dxa"/>
              <w:end w:w="65" w:type="dxa"/>
            </w:tcMar>
            <w:vAlign w:val="top"/>
          </w:tcPr>
          <w:p>
            <w:r>
              <w:t>Mukherjee–Habib; Mukherjee–Wright; Habib–Mukherjee; Entwistle where based on documents</w:t>
            </w:r>
          </w:p>
        </w:tc>
        <w:tc>
          <w:tcPr>
            <w:tcW w:type="dxa" w:w="2541"/>
            <w:tcMar>
              <w:top w:w="55" w:type="dxa"/>
              <w:start w:w="65" w:type="dxa"/>
              <w:bottom w:w="55" w:type="dxa"/>
              <w:end w:w="65" w:type="dxa"/>
            </w:tcMar>
            <w:vAlign w:val="top"/>
          </w:tcPr>
          <w:p>
            <w:r>
              <w:t>Land, hiba, dwellings, property succession, named premises, later memorial history.</w:t>
            </w:r>
          </w:p>
        </w:tc>
        <w:tc>
          <w:tcPr>
            <w:tcW w:type="dxa" w:w="2541"/>
            <w:tcMar>
              <w:top w:w="55" w:type="dxa"/>
              <w:start w:w="65" w:type="dxa"/>
              <w:bottom w:w="55" w:type="dxa"/>
              <w:end w:w="65" w:type="dxa"/>
            </w:tcMar>
            <w:vAlign w:val="top"/>
          </w:tcPr>
          <w:p>
            <w:r>
              <w:t>Documents establish legal/property facts, not the full devotional meaning of those places.</w:t>
            </w:r>
          </w:p>
        </w:tc>
      </w:tr>
    </w:tbl>
    <w:p>
      <w:pPr>
        <w:pStyle w:val="Heading1"/>
        <w:keepNext w:val="1"/>
        <w:keepLines w:val="1"/>
      </w:pPr>
      <w:r>
        <w:t>3. Provisional chronology — with confidence levels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7B2638"/>
            <w:tcMar>
              <w:top w:w="55" w:type="dxa"/>
              <w:start w:w="65" w:type="dxa"/>
              <w:bottom w:w="55" w:type="dxa"/>
              <w:end w:w="65" w:type="dxa"/>
            </w:tcMar>
          </w:tcPr>
          <w:p>
            <w:r>
              <w:rPr>
                <w:b/>
                <w:color w:val="FFFFFF"/>
              </w:rPr>
              <w:t>Topic / event</w:t>
            </w:r>
          </w:p>
        </w:tc>
        <w:tc>
          <w:tcPr>
            <w:tcW w:type="dxa" w:w="2541"/>
            <w:shd w:fill="7B2638"/>
            <w:tcMar>
              <w:top w:w="55" w:type="dxa"/>
              <w:start w:w="65" w:type="dxa"/>
              <w:bottom w:w="55" w:type="dxa"/>
              <w:end w:w="65" w:type="dxa"/>
            </w:tcMar>
          </w:tcPr>
          <w:p>
            <w:r>
              <w:rPr>
                <w:b/>
                <w:color w:val="FFFFFF"/>
              </w:rPr>
              <w:t>Evidence</w:t>
            </w:r>
          </w:p>
        </w:tc>
        <w:tc>
          <w:tcPr>
            <w:tcW w:type="dxa" w:w="2541"/>
            <w:shd w:fill="7B2638"/>
            <w:tcMar>
              <w:top w:w="55" w:type="dxa"/>
              <w:start w:w="65" w:type="dxa"/>
              <w:bottom w:w="55" w:type="dxa"/>
              <w:end w:w="65" w:type="dxa"/>
            </w:tcMar>
          </w:tcPr>
          <w:p>
            <w:r>
              <w:rPr>
                <w:b/>
                <w:color w:val="FFFFFF"/>
              </w:rPr>
              <w:t>Current ruling</w:t>
            </w:r>
          </w:p>
        </w:tc>
        <w:tc>
          <w:tcPr>
            <w:tcW w:type="dxa" w:w="2541"/>
            <w:shd w:fill="7B2638"/>
            <w:tcMar>
              <w:top w:w="55" w:type="dxa"/>
              <w:start w:w="65" w:type="dxa"/>
              <w:bottom w:w="55" w:type="dxa"/>
              <w:end w:w="65" w:type="dxa"/>
            </w:tcMar>
          </w:tcPr>
          <w:p>
            <w:r>
              <w:rPr>
                <w:b/>
                <w:color w:val="FFFFFF"/>
              </w:rPr>
              <w:t>Status</w:t>
            </w:r>
          </w:p>
        </w:tc>
      </w:tr>
      <w:tr>
        <w:trPr>
          <w:cantSplit w:val="1"/>
        </w:trPr>
        <w:tc>
          <w:tcPr>
            <w:tcW w:type="dxa" w:w="2541"/>
            <w:tcMar>
              <w:top w:w="50" w:type="dxa"/>
              <w:start w:w="60" w:type="dxa"/>
              <w:bottom w:w="50" w:type="dxa"/>
              <w:end w:w="60" w:type="dxa"/>
            </w:tcMar>
            <w:vAlign w:val="top"/>
          </w:tcPr>
          <w:p>
            <w:r>
              <w:t>Birth at Śrī-Kṛṣṇapura / Saptagrāma region</w:t>
            </w:r>
          </w:p>
        </w:tc>
        <w:tc>
          <w:tcPr>
            <w:tcW w:type="dxa" w:w="2541"/>
            <w:tcMar>
              <w:top w:w="50" w:type="dxa"/>
              <w:start w:w="60" w:type="dxa"/>
              <w:bottom w:w="50" w:type="dxa"/>
              <w:end w:w="60" w:type="dxa"/>
            </w:tcMar>
            <w:vAlign w:val="top"/>
          </w:tcPr>
          <w:p>
            <w:r>
              <w:t>CC Ādi 10.91 purport cites Bhaktisiddhānta’s Anubhāṣya: 'most probably' 1416 Śaka; CC root identifies Govardhana as father.</w:t>
            </w:r>
          </w:p>
        </w:tc>
        <w:tc>
          <w:tcPr>
            <w:tcW w:type="dxa" w:w="2541"/>
            <w:tcMar>
              <w:top w:w="50" w:type="dxa"/>
              <w:start w:w="60" w:type="dxa"/>
              <w:bottom w:w="50" w:type="dxa"/>
              <w:end w:w="60" w:type="dxa"/>
            </w:tcMar>
            <w:vAlign w:val="top"/>
          </w:tcPr>
          <w:p>
            <w:r>
              <w:t>Use c.1494/1495 only as a cautious later scholarly estimate; exact civil date unproven.</w:t>
            </w:r>
          </w:p>
        </w:tc>
        <w:tc>
          <w:tcPr>
            <w:tcW w:type="dxa" w:w="2541"/>
            <w:tcMar>
              <w:top w:w="50" w:type="dxa"/>
              <w:start w:w="60" w:type="dxa"/>
              <w:bottom w:w="50" w:type="dxa"/>
              <w:end w:w="60" w:type="dxa"/>
            </w:tcMar>
            <w:vAlign w:val="top"/>
          </w:tcPr>
          <w:p>
            <w:r>
              <w:t>OPEN / later estimate</w:t>
            </w:r>
          </w:p>
        </w:tc>
      </w:tr>
      <w:tr>
        <w:trPr>
          <w:cantSplit w:val="1"/>
        </w:trPr>
        <w:tc>
          <w:tcPr>
            <w:tcW w:type="dxa" w:w="2541"/>
            <w:tcMar>
              <w:top w:w="50" w:type="dxa"/>
              <w:start w:w="60" w:type="dxa"/>
              <w:bottom w:w="50" w:type="dxa"/>
              <w:end w:w="60" w:type="dxa"/>
            </w:tcMar>
            <w:vAlign w:val="top"/>
          </w:tcPr>
          <w:p>
            <w:r>
              <w:t>Appearance tithi</w:t>
            </w:r>
          </w:p>
        </w:tc>
        <w:tc>
          <w:tcPr>
            <w:tcW w:type="dxa" w:w="2541"/>
            <w:tcMar>
              <w:top w:w="50" w:type="dxa"/>
              <w:start w:w="60" w:type="dxa"/>
              <w:bottom w:w="50" w:type="dxa"/>
              <w:end w:w="60" w:type="dxa"/>
            </w:tcMar>
            <w:vAlign w:val="top"/>
          </w:tcPr>
          <w:p>
            <w:r>
              <w:t>Modern Gauḍīya/ISKCON calendars give Mādhava (Māgha) gaura/śukla pañcamī.</w:t>
            </w:r>
          </w:p>
        </w:tc>
        <w:tc>
          <w:tcPr>
            <w:tcW w:type="dxa" w:w="2541"/>
            <w:tcMar>
              <w:top w:w="50" w:type="dxa"/>
              <w:start w:w="60" w:type="dxa"/>
              <w:bottom w:w="50" w:type="dxa"/>
              <w:end w:w="60" w:type="dxa"/>
            </w:tcMar>
            <w:vAlign w:val="top"/>
          </w:tcPr>
          <w:p>
            <w:r>
              <w:t>Treat Māgha śukla pañcamī as strong living calendrical tradition; older textual witness still sought.</w:t>
            </w:r>
          </w:p>
        </w:tc>
        <w:tc>
          <w:tcPr>
            <w:tcW w:type="dxa" w:w="2541"/>
            <w:tcMar>
              <w:top w:w="50" w:type="dxa"/>
              <w:start w:w="60" w:type="dxa"/>
              <w:bottom w:w="50" w:type="dxa"/>
              <w:end w:w="60" w:type="dxa"/>
            </w:tcMar>
            <w:vAlign w:val="top"/>
          </w:tcPr>
          <w:p>
            <w:r>
              <w:t>C — strong living tradition; early source open</w:t>
            </w:r>
          </w:p>
        </w:tc>
      </w:tr>
      <w:tr>
        <w:trPr>
          <w:cantSplit w:val="1"/>
        </w:trPr>
        <w:tc>
          <w:tcPr>
            <w:tcW w:type="dxa" w:w="2541"/>
            <w:tcMar>
              <w:top w:w="50" w:type="dxa"/>
              <w:start w:w="60" w:type="dxa"/>
              <w:bottom w:w="50" w:type="dxa"/>
              <w:end w:w="60" w:type="dxa"/>
            </w:tcMar>
            <w:vAlign w:val="top"/>
          </w:tcPr>
          <w:p>
            <w:r>
              <w:t>Boyhood study and Haridāsa Ṭhākura</w:t>
            </w:r>
          </w:p>
        </w:tc>
        <w:tc>
          <w:tcPr>
            <w:tcW w:type="dxa" w:w="2541"/>
            <w:tcMar>
              <w:top w:w="50" w:type="dxa"/>
              <w:start w:w="60" w:type="dxa"/>
              <w:bottom w:w="50" w:type="dxa"/>
              <w:end w:w="60" w:type="dxa"/>
            </w:tcMar>
            <w:vAlign w:val="top"/>
          </w:tcPr>
          <w:p>
            <w:r>
              <w:t>CC Antya 3.165–170.</w:t>
            </w:r>
          </w:p>
        </w:tc>
        <w:tc>
          <w:tcPr>
            <w:tcW w:type="dxa" w:w="2541"/>
            <w:tcMar>
              <w:top w:w="50" w:type="dxa"/>
              <w:start w:w="60" w:type="dxa"/>
              <w:bottom w:w="50" w:type="dxa"/>
              <w:end w:w="60" w:type="dxa"/>
            </w:tcMar>
            <w:vAlign w:val="top"/>
          </w:tcPr>
          <w:p>
            <w:r>
              <w:t>Boy Raghunātha was studying and visited Haridāsa daily; Kṛṣṇadāsa explicitly says Haridāsa’s mercy became a cause of his attaining Caitanya.</w:t>
            </w:r>
          </w:p>
        </w:tc>
        <w:tc>
          <w:tcPr>
            <w:tcW w:type="dxa" w:w="2541"/>
            <w:tcMar>
              <w:top w:w="50" w:type="dxa"/>
              <w:start w:w="60" w:type="dxa"/>
              <w:bottom w:w="50" w:type="dxa"/>
              <w:end w:w="60" w:type="dxa"/>
            </w:tcMar>
            <w:vAlign w:val="top"/>
          </w:tcPr>
          <w:p>
            <w:r>
              <w:t>A2 — VERIFIED</w:t>
            </w:r>
          </w:p>
        </w:tc>
      </w:tr>
      <w:tr>
        <w:trPr>
          <w:cantSplit w:val="1"/>
        </w:trPr>
        <w:tc>
          <w:tcPr>
            <w:tcW w:type="dxa" w:w="2541"/>
            <w:tcMar>
              <w:top w:w="50" w:type="dxa"/>
              <w:start w:w="60" w:type="dxa"/>
              <w:bottom w:w="50" w:type="dxa"/>
              <w:end w:w="60" w:type="dxa"/>
            </w:tcMar>
            <w:vAlign w:val="top"/>
          </w:tcPr>
          <w:p>
            <w:r>
              <w:t>First Śāntipura encounter after Mahāprabhu’s sannyāsa</w:t>
            </w:r>
          </w:p>
        </w:tc>
        <w:tc>
          <w:tcPr>
            <w:tcW w:type="dxa" w:w="2541"/>
            <w:tcMar>
              <w:top w:w="50" w:type="dxa"/>
              <w:start w:w="60" w:type="dxa"/>
              <w:bottom w:w="50" w:type="dxa"/>
              <w:end w:w="60" w:type="dxa"/>
            </w:tcMar>
            <w:vAlign w:val="top"/>
          </w:tcPr>
          <w:p>
            <w:r>
              <w:t>CC Madhya 16.222–225.</w:t>
            </w:r>
          </w:p>
        </w:tc>
        <w:tc>
          <w:tcPr>
            <w:tcW w:type="dxa" w:w="2541"/>
            <w:tcMar>
              <w:top w:w="50" w:type="dxa"/>
              <w:start w:w="60" w:type="dxa"/>
              <w:bottom w:w="50" w:type="dxa"/>
              <w:end w:w="60" w:type="dxa"/>
            </w:tcMar>
            <w:vAlign w:val="top"/>
          </w:tcPr>
          <w:p>
            <w:r>
              <w:t>Raghunātha’s childhood detachment is already established; Mahāprabhu touches him with His feet; family linked with Advaita.</w:t>
            </w:r>
          </w:p>
        </w:tc>
        <w:tc>
          <w:tcPr>
            <w:tcW w:type="dxa" w:w="2541"/>
            <w:tcMar>
              <w:top w:w="50" w:type="dxa"/>
              <w:start w:w="60" w:type="dxa"/>
              <w:bottom w:w="50" w:type="dxa"/>
              <w:end w:w="60" w:type="dxa"/>
            </w:tcMar>
            <w:vAlign w:val="top"/>
          </w:tcPr>
          <w:p>
            <w:r>
              <w:t>A2 — VERIFIED; year not fixed by verse</w:t>
            </w:r>
          </w:p>
        </w:tc>
      </w:tr>
      <w:tr>
        <w:trPr>
          <w:cantSplit w:val="1"/>
        </w:trPr>
        <w:tc>
          <w:tcPr>
            <w:tcW w:type="dxa" w:w="2541"/>
            <w:tcMar>
              <w:top w:w="50" w:type="dxa"/>
              <w:start w:w="60" w:type="dxa"/>
              <w:bottom w:w="50" w:type="dxa"/>
              <w:end w:w="60" w:type="dxa"/>
            </w:tcMar>
            <w:vAlign w:val="top"/>
          </w:tcPr>
          <w:p>
            <w:r>
              <w:t>Later Śāntipura instruction</w:t>
            </w:r>
          </w:p>
        </w:tc>
        <w:tc>
          <w:tcPr>
            <w:tcW w:type="dxa" w:w="2541"/>
            <w:tcMar>
              <w:top w:w="50" w:type="dxa"/>
              <w:start w:w="60" w:type="dxa"/>
              <w:bottom w:w="50" w:type="dxa"/>
              <w:end w:w="60" w:type="dxa"/>
            </w:tcMar>
            <w:vAlign w:val="top"/>
          </w:tcPr>
          <w:p>
            <w:r>
              <w:t>CC Madhya 16.216–243; Antya 6.13–15.</w:t>
            </w:r>
          </w:p>
        </w:tc>
        <w:tc>
          <w:tcPr>
            <w:tcW w:type="dxa" w:w="2541"/>
            <w:tcMar>
              <w:top w:w="50" w:type="dxa"/>
              <w:start w:w="60" w:type="dxa"/>
              <w:bottom w:w="50" w:type="dxa"/>
              <w:end w:w="60" w:type="dxa"/>
            </w:tcMar>
            <w:vAlign w:val="top"/>
          </w:tcPr>
          <w:p>
            <w:r>
              <w:t>Mahāprabhu rejects showy premature renunciation and instructs inward niṣṭhā with ordinary outward behavior.</w:t>
            </w:r>
          </w:p>
        </w:tc>
        <w:tc>
          <w:tcPr>
            <w:tcW w:type="dxa" w:w="2541"/>
            <w:tcMar>
              <w:top w:w="50" w:type="dxa"/>
              <w:start w:w="60" w:type="dxa"/>
              <w:bottom w:w="50" w:type="dxa"/>
              <w:end w:w="60" w:type="dxa"/>
            </w:tcMar>
            <w:vAlign w:val="top"/>
          </w:tcPr>
          <w:p>
            <w:r>
              <w:t>A2 — VERIFIED</w:t>
            </w:r>
          </w:p>
        </w:tc>
      </w:tr>
      <w:tr>
        <w:trPr>
          <w:cantSplit w:val="1"/>
        </w:trPr>
        <w:tc>
          <w:tcPr>
            <w:tcW w:type="dxa" w:w="2541"/>
            <w:tcMar>
              <w:top w:w="50" w:type="dxa"/>
              <w:start w:w="60" w:type="dxa"/>
              <w:bottom w:w="50" w:type="dxa"/>
              <w:end w:w="60" w:type="dxa"/>
            </w:tcMar>
            <w:vAlign w:val="top"/>
          </w:tcPr>
          <w:p>
            <w:r>
              <w:t>Household/business period and revenue conflict</w:t>
            </w:r>
          </w:p>
        </w:tc>
        <w:tc>
          <w:tcPr>
            <w:tcW w:type="dxa" w:w="2541"/>
            <w:tcMar>
              <w:top w:w="50" w:type="dxa"/>
              <w:start w:w="60" w:type="dxa"/>
              <w:bottom w:w="50" w:type="dxa"/>
              <w:end w:w="60" w:type="dxa"/>
            </w:tcMar>
            <w:vAlign w:val="top"/>
          </w:tcPr>
          <w:p>
            <w:r>
              <w:t>CC Antya 6.15–34.</w:t>
            </w:r>
          </w:p>
        </w:tc>
        <w:tc>
          <w:tcPr>
            <w:tcW w:type="dxa" w:w="2541"/>
            <w:tcMar>
              <w:top w:w="50" w:type="dxa"/>
              <w:start w:w="60" w:type="dxa"/>
              <w:bottom w:w="50" w:type="dxa"/>
              <w:end w:w="60" w:type="dxa"/>
            </w:tcMar>
            <w:vAlign w:val="top"/>
          </w:tcPr>
          <w:p>
            <w:r>
              <w:t>Raghunātha outwardly acts as a skilled manager; he is arrested in the Hiraṇya tax dispute and mediates successfully.</w:t>
            </w:r>
          </w:p>
        </w:tc>
        <w:tc>
          <w:tcPr>
            <w:tcW w:type="dxa" w:w="2541"/>
            <w:tcMar>
              <w:top w:w="50" w:type="dxa"/>
              <w:start w:w="60" w:type="dxa"/>
              <w:bottom w:w="50" w:type="dxa"/>
              <w:end w:w="60" w:type="dxa"/>
            </w:tcMar>
            <w:vAlign w:val="top"/>
          </w:tcPr>
          <w:p>
            <w:r>
              <w:t>A2 — VERIFIED</w:t>
            </w:r>
          </w:p>
        </w:tc>
      </w:tr>
      <w:tr>
        <w:trPr>
          <w:cantSplit w:val="1"/>
        </w:trPr>
        <w:tc>
          <w:tcPr>
            <w:tcW w:type="dxa" w:w="2541"/>
            <w:tcMar>
              <w:top w:w="50" w:type="dxa"/>
              <w:start w:w="60" w:type="dxa"/>
              <w:bottom w:w="50" w:type="dxa"/>
              <w:end w:w="60" w:type="dxa"/>
            </w:tcMar>
            <w:vAlign w:val="top"/>
          </w:tcPr>
          <w:p>
            <w:r>
              <w:t>Repeated escape attempts</w:t>
            </w:r>
          </w:p>
        </w:tc>
        <w:tc>
          <w:tcPr>
            <w:tcW w:type="dxa" w:w="2541"/>
            <w:tcMar>
              <w:top w:w="50" w:type="dxa"/>
              <w:start w:w="60" w:type="dxa"/>
              <w:bottom w:w="50" w:type="dxa"/>
              <w:end w:w="60" w:type="dxa"/>
            </w:tcMar>
            <w:vAlign w:val="top"/>
          </w:tcPr>
          <w:p>
            <w:r>
              <w:t>CC Antya 6.35–41.</w:t>
            </w:r>
          </w:p>
        </w:tc>
        <w:tc>
          <w:tcPr>
            <w:tcW w:type="dxa" w:w="2541"/>
            <w:tcMar>
              <w:top w:w="50" w:type="dxa"/>
              <w:start w:w="60" w:type="dxa"/>
              <w:bottom w:w="50" w:type="dxa"/>
              <w:end w:w="60" w:type="dxa"/>
            </w:tcMar>
            <w:vAlign w:val="top"/>
          </w:tcPr>
          <w:p>
            <w:r>
              <w:t>After about a year of outward household conduct he repeatedly tries to leave; father’s statement recognizes that material opulence cannot bind him.</w:t>
            </w:r>
          </w:p>
        </w:tc>
        <w:tc>
          <w:tcPr>
            <w:tcW w:type="dxa" w:w="2541"/>
            <w:tcMar>
              <w:top w:w="50" w:type="dxa"/>
              <w:start w:w="60" w:type="dxa"/>
              <w:bottom w:w="50" w:type="dxa"/>
              <w:end w:w="60" w:type="dxa"/>
            </w:tcMar>
            <w:vAlign w:val="top"/>
          </w:tcPr>
          <w:p>
            <w:r>
              <w:t>A2 — VERIFIED</w:t>
            </w:r>
          </w:p>
        </w:tc>
      </w:tr>
      <w:tr>
        <w:trPr>
          <w:cantSplit w:val="1"/>
        </w:trPr>
        <w:tc>
          <w:tcPr>
            <w:tcW w:type="dxa" w:w="2541"/>
            <w:tcMar>
              <w:top w:w="50" w:type="dxa"/>
              <w:start w:w="60" w:type="dxa"/>
              <w:bottom w:w="50" w:type="dxa"/>
              <w:end w:w="60" w:type="dxa"/>
            </w:tcMar>
            <w:vAlign w:val="top"/>
          </w:tcPr>
          <w:p>
            <w:r>
              <w:t>Pānihāṭi ciḍā-dadhi festival</w:t>
            </w:r>
          </w:p>
        </w:tc>
        <w:tc>
          <w:tcPr>
            <w:tcW w:type="dxa" w:w="2541"/>
            <w:tcMar>
              <w:top w:w="50" w:type="dxa"/>
              <w:start w:w="60" w:type="dxa"/>
              <w:bottom w:w="50" w:type="dxa"/>
              <w:end w:w="60" w:type="dxa"/>
            </w:tcMar>
            <w:vAlign w:val="top"/>
          </w:tcPr>
          <w:p>
            <w:r>
              <w:t>CC Antya 6.42–154.</w:t>
            </w:r>
          </w:p>
        </w:tc>
        <w:tc>
          <w:tcPr>
            <w:tcW w:type="dxa" w:w="2541"/>
            <w:tcMar>
              <w:top w:w="50" w:type="dxa"/>
              <w:start w:w="60" w:type="dxa"/>
              <w:bottom w:w="50" w:type="dxa"/>
              <w:end w:w="60" w:type="dxa"/>
            </w:tcMar>
            <w:vAlign w:val="top"/>
          </w:tcPr>
          <w:p>
            <w:r>
              <w:t>Nityānanda places His feet on Raghunātha’s head, orders the feast, and promises that obstacles to reaching Mahāprabhu are removed.</w:t>
            </w:r>
          </w:p>
        </w:tc>
        <w:tc>
          <w:tcPr>
            <w:tcW w:type="dxa" w:w="2541"/>
            <w:tcMar>
              <w:top w:w="50" w:type="dxa"/>
              <w:start w:w="60" w:type="dxa"/>
              <w:bottom w:w="50" w:type="dxa"/>
              <w:end w:w="60" w:type="dxa"/>
            </w:tcMar>
            <w:vAlign w:val="top"/>
          </w:tcPr>
          <w:p>
            <w:r>
              <w:t>A2 — VERIFIED</w:t>
            </w:r>
          </w:p>
        </w:tc>
      </w:tr>
      <w:tr>
        <w:trPr>
          <w:cantSplit w:val="1"/>
        </w:trPr>
        <w:tc>
          <w:tcPr>
            <w:tcW w:type="dxa" w:w="2541"/>
            <w:tcMar>
              <w:top w:w="50" w:type="dxa"/>
              <w:start w:w="60" w:type="dxa"/>
              <w:bottom w:w="50" w:type="dxa"/>
              <w:end w:w="60" w:type="dxa"/>
            </w:tcMar>
            <w:vAlign w:val="top"/>
          </w:tcPr>
          <w:p>
            <w:r>
              <w:t>Final escape via Yadunandana Ācārya</w:t>
            </w:r>
          </w:p>
        </w:tc>
        <w:tc>
          <w:tcPr>
            <w:tcW w:type="dxa" w:w="2541"/>
            <w:tcMar>
              <w:top w:w="50" w:type="dxa"/>
              <w:start w:w="60" w:type="dxa"/>
              <w:bottom w:w="50" w:type="dxa"/>
              <w:end w:w="60" w:type="dxa"/>
            </w:tcMar>
            <w:vAlign w:val="top"/>
          </w:tcPr>
          <w:p>
            <w:r>
              <w:t>CC Antya 6.155–188.</w:t>
            </w:r>
          </w:p>
        </w:tc>
        <w:tc>
          <w:tcPr>
            <w:tcW w:type="dxa" w:w="2541"/>
            <w:tcMar>
              <w:top w:w="50" w:type="dxa"/>
              <w:start w:w="60" w:type="dxa"/>
              <w:bottom w:w="50" w:type="dxa"/>
              <w:end w:w="60" w:type="dxa"/>
            </w:tcMar>
            <w:vAlign w:val="top"/>
          </w:tcPr>
          <w:p>
            <w:r>
              <w:t>Leaves while guards sleep, avoids the main road, reaches Purī in 12 days, eating on only 3 days.</w:t>
            </w:r>
          </w:p>
        </w:tc>
        <w:tc>
          <w:tcPr>
            <w:tcW w:type="dxa" w:w="2541"/>
            <w:tcMar>
              <w:top w:w="50" w:type="dxa"/>
              <w:start w:w="60" w:type="dxa"/>
              <w:bottom w:w="50" w:type="dxa"/>
              <w:end w:w="60" w:type="dxa"/>
            </w:tcMar>
            <w:vAlign w:val="top"/>
          </w:tcPr>
          <w:p>
            <w:r>
              <w:t>A2 — VERIFIED</w:t>
            </w:r>
          </w:p>
        </w:tc>
      </w:tr>
      <w:tr>
        <w:trPr>
          <w:cantSplit w:val="1"/>
        </w:trPr>
        <w:tc>
          <w:tcPr>
            <w:tcW w:type="dxa" w:w="2541"/>
            <w:tcMar>
              <w:top w:w="50" w:type="dxa"/>
              <w:start w:w="60" w:type="dxa"/>
              <w:bottom w:w="50" w:type="dxa"/>
              <w:end w:w="60" w:type="dxa"/>
            </w:tcMar>
            <w:vAlign w:val="top"/>
          </w:tcPr>
          <w:p>
            <w:r>
              <w:t>Purī arrival</w:t>
            </w:r>
          </w:p>
        </w:tc>
        <w:tc>
          <w:tcPr>
            <w:tcW w:type="dxa" w:w="2541"/>
            <w:tcMar>
              <w:top w:w="50" w:type="dxa"/>
              <w:start w:w="60" w:type="dxa"/>
              <w:bottom w:w="50" w:type="dxa"/>
              <w:end w:w="60" w:type="dxa"/>
            </w:tcMar>
            <w:vAlign w:val="top"/>
          </w:tcPr>
          <w:p>
            <w:r>
              <w:t>CC Antya 6.189 onward; Anubhāṣya tradition dates it 1439 Śaka.</w:t>
            </w:r>
          </w:p>
        </w:tc>
        <w:tc>
          <w:tcPr>
            <w:tcW w:type="dxa" w:w="2541"/>
            <w:tcMar>
              <w:top w:w="50" w:type="dxa"/>
              <w:start w:w="60" w:type="dxa"/>
              <w:bottom w:w="50" w:type="dxa"/>
              <w:end w:w="60" w:type="dxa"/>
            </w:tcMar>
            <w:vAlign w:val="top"/>
          </w:tcPr>
          <w:p>
            <w:r>
              <w:t>The event is secure; 1517/1518 Gregorian conversion belongs to later chronological reckoning, not the Bengali verse itself.</w:t>
            </w:r>
          </w:p>
        </w:tc>
        <w:tc>
          <w:tcPr>
            <w:tcW w:type="dxa" w:w="2541"/>
            <w:tcMar>
              <w:top w:w="50" w:type="dxa"/>
              <w:start w:w="60" w:type="dxa"/>
              <w:bottom w:w="50" w:type="dxa"/>
              <w:end w:w="60" w:type="dxa"/>
            </w:tcMar>
            <w:vAlign w:val="top"/>
          </w:tcPr>
          <w:p>
            <w:r>
              <w:t>A2 event VERIFIED; absolute year QUALIFIED</w:t>
            </w:r>
          </w:p>
        </w:tc>
      </w:tr>
      <w:tr>
        <w:trPr>
          <w:cantSplit w:val="1"/>
        </w:trPr>
        <w:tc>
          <w:tcPr>
            <w:tcW w:type="dxa" w:w="2541"/>
            <w:tcMar>
              <w:top w:w="50" w:type="dxa"/>
              <w:start w:w="60" w:type="dxa"/>
              <w:bottom w:w="50" w:type="dxa"/>
              <w:end w:w="60" w:type="dxa"/>
            </w:tcMar>
            <w:vAlign w:val="top"/>
          </w:tcPr>
          <w:p>
            <w:r>
              <w:t>Entrusted to Svarūpa Dāmodara</w:t>
            </w:r>
          </w:p>
        </w:tc>
        <w:tc>
          <w:tcPr>
            <w:tcW w:type="dxa" w:w="2541"/>
            <w:tcMar>
              <w:top w:w="50" w:type="dxa"/>
              <w:start w:w="60" w:type="dxa"/>
              <w:bottom w:w="50" w:type="dxa"/>
              <w:end w:w="60" w:type="dxa"/>
            </w:tcMar>
            <w:vAlign w:val="top"/>
          </w:tcPr>
          <w:p>
            <w:r>
              <w:t>CC Antya 6.202–205; Ādi 10.92.</w:t>
            </w:r>
          </w:p>
        </w:tc>
        <w:tc>
          <w:tcPr>
            <w:tcW w:type="dxa" w:w="2541"/>
            <w:tcMar>
              <w:top w:w="50" w:type="dxa"/>
              <w:start w:w="60" w:type="dxa"/>
              <w:bottom w:w="50" w:type="dxa"/>
              <w:end w:w="60" w:type="dxa"/>
            </w:tcMar>
            <w:vAlign w:val="top"/>
          </w:tcPr>
          <w:p>
            <w:r>
              <w:t>Mahāprabhu formally gives him to Svarūpa as son/servant; 'Svarūpera Raghu.'</w:t>
            </w:r>
          </w:p>
        </w:tc>
        <w:tc>
          <w:tcPr>
            <w:tcW w:type="dxa" w:w="2541"/>
            <w:tcMar>
              <w:top w:w="50" w:type="dxa"/>
              <w:start w:w="60" w:type="dxa"/>
              <w:bottom w:w="50" w:type="dxa"/>
              <w:end w:w="60" w:type="dxa"/>
            </w:tcMar>
            <w:vAlign w:val="top"/>
          </w:tcPr>
          <w:p>
            <w:r>
              <w:t>A2 — VERIFIED</w:t>
            </w:r>
          </w:p>
        </w:tc>
      </w:tr>
      <w:tr>
        <w:trPr>
          <w:cantSplit w:val="1"/>
        </w:trPr>
        <w:tc>
          <w:tcPr>
            <w:tcW w:type="dxa" w:w="2541"/>
            <w:tcMar>
              <w:top w:w="50" w:type="dxa"/>
              <w:start w:w="60" w:type="dxa"/>
              <w:bottom w:w="50" w:type="dxa"/>
              <w:end w:w="60" w:type="dxa"/>
            </w:tcMar>
            <w:vAlign w:val="top"/>
          </w:tcPr>
          <w:p>
            <w:r>
              <w:t>Purī service</w:t>
            </w:r>
          </w:p>
        </w:tc>
        <w:tc>
          <w:tcPr>
            <w:tcW w:type="dxa" w:w="2541"/>
            <w:tcMar>
              <w:top w:w="50" w:type="dxa"/>
              <w:start w:w="60" w:type="dxa"/>
              <w:bottom w:w="50" w:type="dxa"/>
              <w:end w:w="60" w:type="dxa"/>
            </w:tcMar>
            <w:vAlign w:val="top"/>
          </w:tcPr>
          <w:p>
            <w:r>
              <w:t>CC Ādi 10.93 says sixteen years; Antya 6 details disciplines.</w:t>
            </w:r>
          </w:p>
        </w:tc>
        <w:tc>
          <w:tcPr>
            <w:tcW w:type="dxa" w:w="2541"/>
            <w:tcMar>
              <w:top w:w="50" w:type="dxa"/>
              <w:start w:w="60" w:type="dxa"/>
              <w:bottom w:w="50" w:type="dxa"/>
              <w:end w:w="60" w:type="dxa"/>
            </w:tcMar>
            <w:vAlign w:val="top"/>
          </w:tcPr>
          <w:p>
            <w:r>
              <w:t>Use sixteen years as Kṛṣṇadāsa’s explicit biographical claim.</w:t>
            </w:r>
          </w:p>
        </w:tc>
        <w:tc>
          <w:tcPr>
            <w:tcW w:type="dxa" w:w="2541"/>
            <w:tcMar>
              <w:top w:w="50" w:type="dxa"/>
              <w:start w:w="60" w:type="dxa"/>
              <w:bottom w:w="50" w:type="dxa"/>
              <w:end w:w="60" w:type="dxa"/>
            </w:tcMar>
            <w:vAlign w:val="top"/>
          </w:tcPr>
          <w:p>
            <w:r>
              <w:t>A2 — VERIFIED</w:t>
            </w:r>
          </w:p>
        </w:tc>
      </w:tr>
      <w:tr>
        <w:trPr>
          <w:cantSplit w:val="1"/>
        </w:trPr>
        <w:tc>
          <w:tcPr>
            <w:tcW w:type="dxa" w:w="2541"/>
            <w:tcMar>
              <w:top w:w="50" w:type="dxa"/>
              <w:start w:w="60" w:type="dxa"/>
              <w:bottom w:w="50" w:type="dxa"/>
              <w:end w:w="60" w:type="dxa"/>
            </w:tcMar>
            <w:vAlign w:val="top"/>
          </w:tcPr>
          <w:p>
            <w:r>
              <w:t>Departure to Vraja</w:t>
            </w:r>
          </w:p>
        </w:tc>
        <w:tc>
          <w:tcPr>
            <w:tcW w:type="dxa" w:w="2541"/>
            <w:tcMar>
              <w:top w:w="50" w:type="dxa"/>
              <w:start w:w="60" w:type="dxa"/>
              <w:bottom w:w="50" w:type="dxa"/>
              <w:end w:w="60" w:type="dxa"/>
            </w:tcMar>
            <w:vAlign w:val="top"/>
          </w:tcPr>
          <w:p>
            <w:r>
              <w:t>CC Ādi 10.93–97.</w:t>
            </w:r>
          </w:p>
        </w:tc>
        <w:tc>
          <w:tcPr>
            <w:tcW w:type="dxa" w:w="2541"/>
            <w:tcMar>
              <w:top w:w="50" w:type="dxa"/>
              <w:start w:w="60" w:type="dxa"/>
              <w:bottom w:w="50" w:type="dxa"/>
              <w:end w:w="60" w:type="dxa"/>
            </w:tcMar>
            <w:vAlign w:val="top"/>
          </w:tcPr>
          <w:p>
            <w:r>
              <w:t>After disappearances of Mahāprabhu and Svarūpa, he goes to Vraja intending to see Rūpa/Sanātana and then die at Govardhana; they prevent him.</w:t>
            </w:r>
          </w:p>
        </w:tc>
        <w:tc>
          <w:tcPr>
            <w:tcW w:type="dxa" w:w="2541"/>
            <w:tcMar>
              <w:top w:w="50" w:type="dxa"/>
              <w:start w:w="60" w:type="dxa"/>
              <w:bottom w:w="50" w:type="dxa"/>
              <w:end w:w="60" w:type="dxa"/>
            </w:tcMar>
            <w:vAlign w:val="top"/>
          </w:tcPr>
          <w:p>
            <w:r>
              <w:t>A2 — VERIFIED</w:t>
            </w:r>
          </w:p>
        </w:tc>
      </w:tr>
      <w:tr>
        <w:trPr>
          <w:cantSplit w:val="1"/>
        </w:trPr>
        <w:tc>
          <w:tcPr>
            <w:tcW w:type="dxa" w:w="2541"/>
            <w:tcMar>
              <w:top w:w="50" w:type="dxa"/>
              <w:start w:w="60" w:type="dxa"/>
              <w:bottom w:w="50" w:type="dxa"/>
              <w:end w:w="60" w:type="dxa"/>
            </w:tcMar>
            <w:vAlign w:val="top"/>
          </w:tcPr>
          <w:p>
            <w:r>
              <w:t>Rādhā-kuṇḍa residence</w:t>
            </w:r>
          </w:p>
        </w:tc>
        <w:tc>
          <w:tcPr>
            <w:tcW w:type="dxa" w:w="2541"/>
            <w:tcMar>
              <w:top w:w="50" w:type="dxa"/>
              <w:start w:w="60" w:type="dxa"/>
              <w:bottom w:w="50" w:type="dxa"/>
              <w:end w:w="60" w:type="dxa"/>
            </w:tcMar>
            <w:vAlign w:val="top"/>
          </w:tcPr>
          <w:p>
            <w:r>
              <w:t>Raghunātha’s own Rādhā-kuṇḍāṣṭaka/Vilāpa-kusumāñjali; CC Ādi 10.98–103; BR; later property evidence.</w:t>
            </w:r>
          </w:p>
        </w:tc>
        <w:tc>
          <w:tcPr>
            <w:tcW w:type="dxa" w:w="2541"/>
            <w:tcMar>
              <w:top w:w="50" w:type="dxa"/>
              <w:start w:w="60" w:type="dxa"/>
              <w:bottom w:w="50" w:type="dxa"/>
              <w:end w:w="60" w:type="dxa"/>
            </w:tcMar>
            <w:vAlign w:val="top"/>
          </w:tcPr>
          <w:p>
            <w:r>
              <w:t>Residence and devotional centrality are secure; exact first settlement year remains open.</w:t>
            </w:r>
          </w:p>
        </w:tc>
        <w:tc>
          <w:tcPr>
            <w:tcW w:type="dxa" w:w="2541"/>
            <w:tcMar>
              <w:top w:w="50" w:type="dxa"/>
              <w:start w:w="60" w:type="dxa"/>
              <w:bottom w:w="50" w:type="dxa"/>
              <w:end w:w="60" w:type="dxa"/>
            </w:tcMar>
            <w:vAlign w:val="top"/>
          </w:tcPr>
          <w:p>
            <w:r>
              <w:t>A1/A2/B/D — VERY STRONG</w:t>
            </w:r>
          </w:p>
        </w:tc>
      </w:tr>
      <w:tr>
        <w:trPr>
          <w:cantSplit w:val="1"/>
        </w:trPr>
        <w:tc>
          <w:tcPr>
            <w:tcW w:type="dxa" w:w="2541"/>
            <w:tcMar>
              <w:top w:w="50" w:type="dxa"/>
              <w:start w:w="60" w:type="dxa"/>
              <w:bottom w:w="50" w:type="dxa"/>
              <w:end w:w="60" w:type="dxa"/>
            </w:tcMar>
            <w:vAlign w:val="top"/>
          </w:tcPr>
          <w:p>
            <w:r>
              <w:t>Twin-kuṇḍa restoration</w:t>
            </w:r>
          </w:p>
        </w:tc>
        <w:tc>
          <w:tcPr>
            <w:tcW w:type="dxa" w:w="2541"/>
            <w:tcMar>
              <w:top w:w="50" w:type="dxa"/>
              <w:start w:w="60" w:type="dxa"/>
              <w:bottom w:w="50" w:type="dxa"/>
              <w:end w:w="60" w:type="dxa"/>
            </w:tcMar>
            <w:vAlign w:val="top"/>
          </w:tcPr>
          <w:p>
            <w:r>
              <w:t>Bhakti-ratnākara 5.530–553; documentary land context.</w:t>
            </w:r>
          </w:p>
        </w:tc>
        <w:tc>
          <w:tcPr>
            <w:tcW w:type="dxa" w:w="2541"/>
            <w:tcMar>
              <w:top w:w="50" w:type="dxa"/>
              <w:start w:w="60" w:type="dxa"/>
              <w:bottom w:w="50" w:type="dxa"/>
              <w:end w:w="60" w:type="dxa"/>
            </w:tcMar>
            <w:vAlign w:val="top"/>
          </w:tcPr>
          <w:p>
            <w:r>
              <w:t>Raghunātha-led cleaning/desilting/excavation is B-level early memory; do not date it to a precise year without further evidence.</w:t>
            </w:r>
          </w:p>
        </w:tc>
        <w:tc>
          <w:tcPr>
            <w:tcW w:type="dxa" w:w="2541"/>
            <w:tcMar>
              <w:top w:w="50" w:type="dxa"/>
              <w:start w:w="60" w:type="dxa"/>
              <w:bottom w:w="50" w:type="dxa"/>
              <w:end w:w="60" w:type="dxa"/>
            </w:tcMar>
            <w:vAlign w:val="top"/>
          </w:tcPr>
          <w:p>
            <w:r>
              <w:t>B — STRONG early tradition; date open</w:t>
            </w:r>
          </w:p>
        </w:tc>
      </w:tr>
      <w:tr>
        <w:trPr>
          <w:cantSplit w:val="1"/>
        </w:trPr>
        <w:tc>
          <w:tcPr>
            <w:tcW w:type="dxa" w:w="2541"/>
            <w:tcMar>
              <w:top w:w="50" w:type="dxa"/>
              <w:start w:w="60" w:type="dxa"/>
              <w:bottom w:w="50" w:type="dxa"/>
              <w:end w:w="60" w:type="dxa"/>
            </w:tcMar>
            <w:vAlign w:val="top"/>
          </w:tcPr>
          <w:p>
            <w:r>
              <w:t>1588 Raghunātha → Jīva hiba</w:t>
            </w:r>
          </w:p>
        </w:tc>
        <w:tc>
          <w:tcPr>
            <w:tcW w:type="dxa" w:w="2541"/>
            <w:tcMar>
              <w:top w:w="50" w:type="dxa"/>
              <w:start w:w="60" w:type="dxa"/>
              <w:bottom w:w="50" w:type="dxa"/>
              <w:end w:w="60" w:type="dxa"/>
            </w:tcMar>
            <w:vAlign w:val="top"/>
          </w:tcPr>
          <w:p>
            <w:r>
              <w:t>Mukherjee–Habib, Document 11/G.D.8, 7 Rajab 996 / 2 June 1588.</w:t>
            </w:r>
          </w:p>
        </w:tc>
        <w:tc>
          <w:tcPr>
            <w:tcW w:type="dxa" w:w="2541"/>
            <w:tcMar>
              <w:top w:w="50" w:type="dxa"/>
              <w:start w:w="60" w:type="dxa"/>
              <w:bottom w:w="50" w:type="dxa"/>
              <w:end w:w="60" w:type="dxa"/>
            </w:tcMar>
            <w:vAlign w:val="top"/>
          </w:tcPr>
          <w:p>
            <w:r>
              <w:t>Dated 1588 legal declaration reports six plots, aggregate earlier price Rs238 and hiba to Jīva. RDG-R02: because the Āriṭ dossier was retrospectively formalized in important respects, this is not simple proof that Raghunātha was alive in 1588.</w:t>
            </w:r>
          </w:p>
        </w:tc>
        <w:tc>
          <w:tcPr>
            <w:tcW w:type="dxa" w:w="2541"/>
            <w:tcMar>
              <w:top w:w="50" w:type="dxa"/>
              <w:start w:w="60" w:type="dxa"/>
              <w:bottom w:w="50" w:type="dxa"/>
              <w:end w:w="60" w:type="dxa"/>
            </w:tcMar>
            <w:vAlign w:val="top"/>
          </w:tcPr>
          <w:p>
            <w:r>
              <w:t>D — HIGH as legal artifact; NOT a survival terminus</w:t>
            </w:r>
          </w:p>
        </w:tc>
      </w:tr>
      <w:tr>
        <w:trPr>
          <w:cantSplit w:val="1"/>
        </w:trPr>
        <w:tc>
          <w:tcPr>
            <w:tcW w:type="dxa" w:w="2541"/>
            <w:tcMar>
              <w:top w:w="50" w:type="dxa"/>
              <w:start w:w="60" w:type="dxa"/>
              <w:bottom w:w="50" w:type="dxa"/>
              <w:end w:w="60" w:type="dxa"/>
            </w:tcMar>
            <w:vAlign w:val="top"/>
          </w:tcPr>
          <w:p>
            <w:r>
              <w:t>Final years / disappearance</w:t>
            </w:r>
          </w:p>
        </w:tc>
        <w:tc>
          <w:tcPr>
            <w:tcW w:type="dxa" w:w="2541"/>
            <w:tcMar>
              <w:top w:w="50" w:type="dxa"/>
              <w:start w:w="60" w:type="dxa"/>
              <w:bottom w:w="50" w:type="dxa"/>
              <w:end w:w="60" w:type="dxa"/>
            </w:tcMar>
            <w:vAlign w:val="top"/>
          </w:tcPr>
          <w:p>
            <w:r>
              <w:t>Later chronologies often give 1586; 1584 deathbed settlement supplies a stronger documentary anchor; 1588 dossier is retrospective in part.</w:t>
            </w:r>
          </w:p>
        </w:tc>
        <w:tc>
          <w:tcPr>
            <w:tcW w:type="dxa" w:w="2541"/>
            <w:tcMar>
              <w:top w:w="50" w:type="dxa"/>
              <w:start w:w="60" w:type="dxa"/>
              <w:bottom w:w="50" w:type="dxa"/>
              <w:end w:w="60" w:type="dxa"/>
            </w:tcMar>
            <w:vAlign w:val="top"/>
          </w:tcPr>
          <w:p>
            <w:r>
              <w:t>Treat 1584 as the strongest current historical candidate; retain exact tithi/year closure as open pending RDG-R02 follow-up.</w:t>
            </w:r>
          </w:p>
        </w:tc>
        <w:tc>
          <w:tcPr>
            <w:tcW w:type="dxa" w:w="2541"/>
            <w:tcMar>
              <w:top w:w="50" w:type="dxa"/>
              <w:start w:w="60" w:type="dxa"/>
              <w:bottom w:w="50" w:type="dxa"/>
              <w:end w:w="60" w:type="dxa"/>
            </w:tcMar>
            <w:vAlign w:val="top"/>
          </w:tcPr>
          <w:p>
            <w:r>
              <w:t>OPEN / MAJOR ISSUE</w:t>
            </w:r>
          </w:p>
        </w:tc>
      </w:tr>
    </w:tbl>
    <w:p>
      <w:pPr>
        <w:pStyle w:val="Heading1"/>
        <w:keepNext w:val="1"/>
        <w:keepLines w:val="1"/>
      </w:pPr>
      <w:r>
        <w:t>4. Birth, family, wealth, and the Saptagrāma world</w:t>
      </w:r>
    </w:p>
    <w:p>
      <w:r>
        <w:t>Caitanya-caritāmṛta places Raghunātha inside one of the wealthiest landed-revenue households in the Saptagrāma region. His father was Govardhana Majumadāra and his uncle Hiraṇya Majumadāra. Kṛṣṇadāsa describes the brothers as immensely wealthy, aristocratic, charitable and deeply connected with the brāhmaṇa communities of Nadia.</w:t>
      </w:r>
    </w:p>
    <w:p>
      <w:r>
        <w:rPr>
          <w:b/>
          <w:color w:val="7B2638"/>
        </w:rPr>
        <w:t>Caitanya-caritāmṛta, Madhya 16.217–219</w:t>
      </w:r>
    </w:p>
    <w:p>
      <w:pPr>
        <w:ind w:left="360" w:right="259"/>
      </w:pPr>
      <w:r>
        <w:rPr>
          <w:i/>
        </w:rPr>
        <w:t>‘hiraṇya’, ‘govardhana’, — dui sahodara</w:t>
        <w:br/>
        <w:t>saptagrāme bāra-lakṣa mudrāra īśvara ||217||</w:t>
        <w:br/>
        <w:br/>
        <w:t>mahaiśvarya-yukta duṅhe — vadānya, brahmaṇya</w:t>
        <w:br/>
        <w:t>sadācārī, satkulīna, dhārmikāgra-gaṇya ||218||</w:t>
        <w:br/>
        <w:br/>
        <w:t>nadīyā-vāsī, brāhmaṇera upajīvya-prāya</w:t>
        <w:br/>
        <w:t>artha, bhūmi, grāma diyā karena sahāya ||219||</w:t>
      </w:r>
    </w:p>
    <w:p>
      <w:pPr>
        <w:ind w:left="360" w:right="259"/>
      </w:pPr>
      <w:r>
        <w:t>Hiraṇya and Govardhana, two brothers of Saptagrāma, controlled an income described as twelve lakhs of coins. They were immensely wealthy, generous, respectful of brāhmaṇical culture, well behaved and prominent among religious men; many brāhmaṇas of Nadia depended upon their gifts of money, land and villages.</w:t>
      </w:r>
    </w:p>
    <w:p>
      <w:pPr>
        <w:ind w:left="360"/>
      </w:pPr>
      <w:r>
        <w:rPr>
          <w:b/>
          <w:color w:val="7B2638"/>
        </w:rPr>
        <w:t xml:space="preserve">Research use — </w:t>
      </w:r>
      <w:r>
        <w:t>This establishes the social scale of the renunciation Raghunātha later made. The monetary figures are literary-historical claims in CC and should not be converted casually into modern currency.</w:t>
      </w:r>
    </w:p>
    <w:p>
      <w:r>
        <w:t>Bhaktisiddhānta Sarasvatī’s Anubhāṣya, as quoted in the Ādi 10.91 purport, cautiously locates his birth at Śrī-Kṛṣṇapura near Ādi-Saptagrāma and says he was 'most probably' born in 1416 Śaka. The qualifier must be preserved. The source does not authorize a precise modern birthday year without qualification.</w:t>
      </w:r>
    </w:p>
    <w:p>
      <w:pPr>
        <w:pStyle w:val="Heading1"/>
        <w:keepNext w:val="1"/>
        <w:keepLines w:val="1"/>
      </w:pPr>
      <w:r>
        <w:t>5. Childhood formation: study, Haridāsa Ṭhākura, and Yadunandana Ācārya</w:t>
      </w:r>
    </w:p>
    <w:p>
      <w:r>
        <w:t>The earliest concrete scene from Raghunātha’s youth is not an escape attempt but a study-period encounter with Haridāsa Ṭhākura at Cāndapura. Balarāma Ācārya, associated with the Majumadāra household, hosted Haridāsa nearby. Raghunātha went daily to see him.</w:t>
      </w:r>
    </w:p>
    <w:p>
      <w:r>
        <w:rPr>
          <w:b/>
          <w:color w:val="7B2638"/>
        </w:rPr>
        <w:t>Caitanya-caritāmṛta, Antya 3.169–170</w:t>
      </w:r>
    </w:p>
    <w:p>
      <w:pPr>
        <w:ind w:left="360" w:right="259"/>
      </w:pPr>
      <w:r>
        <w:rPr>
          <w:i/>
        </w:rPr>
        <w:t>raghunātha-dāsa bālaka karena adhyayana</w:t>
        <w:br/>
        <w:t>haridāsa-ṭhākurere yāi’ karena darśana ||169||</w:t>
        <w:br/>
        <w:br/>
        <w:t>haridāsa kṛpā kare tāṅhāra upare</w:t>
        <w:br/>
        <w:t>sei kṛpā ‘kāraṇa’ haila caitanya pāibāre ||170||</w:t>
      </w:r>
    </w:p>
    <w:p>
      <w:pPr>
        <w:ind w:left="360" w:right="259"/>
      </w:pPr>
      <w:r>
        <w:t>Raghunātha dāsa, then a boy engaged in study, went to see Haridāsa Ṭhākura. Haridāsa bestowed mercy upon him, and Kṛṣṇadāsa says that mercy became a cause of his later attaining Śrī Caitanya.</w:t>
      </w:r>
    </w:p>
    <w:p>
      <w:pPr>
        <w:ind w:left="360"/>
      </w:pPr>
      <w:r>
        <w:rPr>
          <w:b/>
          <w:color w:val="7B2638"/>
        </w:rPr>
        <w:t xml:space="preserve">Research use — </w:t>
      </w:r>
      <w:r>
        <w:t>A major biographical anchor: Raghunātha’s Gauḍīya formation begins before his final renunciation.</w:t>
      </w:r>
    </w:p>
    <w:p>
      <w:r>
        <w:t>Yadunandana Ācārya is securely Raghunātha’s home spiritual guide/guru in the received Gauḍīya tradition and is an actor in the decisive final escape narrative. The future biography should distinguish Balarāma Ācārya, the family priest named in the Haridāsa episode, from Yadunandana Ācārya.</w:t>
      </w:r>
    </w:p>
    <w:p>
      <w:pPr>
        <w:pStyle w:val="Heading1"/>
        <w:keepNext w:val="1"/>
        <w:keepLines w:val="1"/>
      </w:pPr>
      <w:r>
        <w:t>6. Śāntipura: Mahāprabhu refuses premature external renunciation</w:t>
      </w:r>
    </w:p>
    <w:p>
      <w:r>
        <w:t>Raghunātha’s biography turns on a paradox: the man later remembered for extreme vairāgya was first ordered not to perform theatrical or premature renunciation. Mahāprabhu tells him to remain steady at home, use material circumstances without attachment, cultivate inward firmness and behave outwardly in an ordinary way until Kṛṣṇa opens the path.</w:t>
      </w:r>
    </w:p>
    <w:p>
      <w:r>
        <w:rPr>
          <w:b/>
          <w:color w:val="7B2638"/>
        </w:rPr>
        <w:t>Caitanya-caritāmṛta, Madhya 16.238–239</w:t>
      </w:r>
    </w:p>
    <w:p>
      <w:pPr>
        <w:ind w:left="360" w:right="259"/>
      </w:pPr>
      <w:r>
        <w:rPr>
          <w:i/>
        </w:rPr>
        <w:t>markaṭa-vairāgya nā kara loka dekhāñā</w:t>
        <w:br/>
        <w:t>yathā-yogya viṣaya bhuñja’ anāsakta hañā ||238||</w:t>
        <w:br/>
        <w:br/>
        <w:t>antare niṣṭhā kara, bāhye loka-vyavahāra</w:t>
        <w:br/>
        <w:t>acirāt kṛṣṇa tomāya karibe uddhāra ||239||</w:t>
      </w:r>
    </w:p>
    <w:p>
      <w:pPr>
        <w:ind w:left="360" w:right="259"/>
      </w:pPr>
      <w:r>
        <w:t>Do not practice monkey-like renunciation merely for people to see. Accept what is appropriate in the material sphere without attachment. Be firm within, while externally conducting ordinary social dealings; before long Kṛṣṇa will deliver you.</w:t>
      </w:r>
    </w:p>
    <w:p>
      <w:pPr>
        <w:ind w:left="360"/>
      </w:pPr>
      <w:r>
        <w:rPr>
          <w:b/>
          <w:color w:val="7B2638"/>
        </w:rPr>
        <w:t xml:space="preserve">Research use — </w:t>
      </w:r>
      <w:r>
        <w:t>This instruction should govern the interpretation of all later austerity. His mature renunciation is represented as ripened obedience, not impulsive self-display.</w:t>
      </w:r>
    </w:p>
    <w:p>
      <w:r>
        <w:t>Antya 6.14–15 explicitly says he followed this advice: inwardly renounced, he outwardly behaved like an ordinary businessman. The future narrative should give this period real space rather than rushing directly from youthful detachment to escape.</w:t>
      </w:r>
    </w:p>
    <w:p>
      <w:pPr>
        <w:pStyle w:val="Heading1"/>
        <w:keepNext w:val="1"/>
        <w:keepLines w:val="1"/>
      </w:pPr>
      <w:r>
        <w:t>7. Household competence and the revenue dispute</w:t>
      </w:r>
    </w:p>
    <w:p>
      <w:r>
        <w:t>The tax dispute in Antya 6 prevents a one-dimensional portrait of Raghunātha as socially incapable. The text depicts him as intelligent, tactful and able to mediate a dangerous conflict in the revenue world of his family.</w:t>
      </w:r>
    </w:p>
    <w:p>
      <w:r>
        <w:t>Antya 6.17–34 describes the rivalry with a Muslim caudhurī after Hiraṇya’s revenue arrangement. Raghunātha is arrested when Hiraṇya is unavailable; the official repeatedly threatens him but cannot bring himself to beat him. Raghunātha then uses respectful kinship language and negotiation to defuse the conflict. The biography should treat this as evidence of administrative/social capacity, not merely as an obstacle before renunciation.</w:t>
      </w:r>
    </w:p>
    <w:p>
      <w:pPr>
        <w:pStyle w:val="Heading1"/>
        <w:keepNext w:val="1"/>
        <w:keepLines w:val="1"/>
      </w:pPr>
      <w:r>
        <w:t>8. Pānihāṭi: Nityānanda’s 'punishment' becomes the door to freedom</w:t>
      </w:r>
    </w:p>
    <w:p>
      <w:r>
        <w:t>After repeated unsuccessful attempts to leave home, Raghunātha goes to Nityānanda at Pānihāṭi. Nityānanda jokingly calls him a thief for remaining at a distance, places His feet upon Raghunātha’s head, and orders him to feed the assembled devotees chipped rice and yogurt.</w:t>
      </w:r>
    </w:p>
    <w:p>
      <w:r>
        <w:rPr>
          <w:b/>
          <w:color w:val="7B2638"/>
        </w:rPr>
        <w:t>Caitanya-caritāmṛta, Antya 6.51</w:t>
      </w:r>
    </w:p>
    <w:p>
      <w:pPr>
        <w:ind w:left="360" w:right="259"/>
      </w:pPr>
      <w:r>
        <w:rPr>
          <w:i/>
        </w:rPr>
        <w:t>“Make a festival and feed all My associates yogurt and chipped rice.”</w:t>
      </w:r>
    </w:p>
    <w:p>
      <w:pPr>
        <w:ind w:left="360"/>
      </w:pPr>
      <w:r>
        <w:rPr>
          <w:b/>
          <w:color w:val="7B2638"/>
        </w:rPr>
        <w:t xml:space="preserve">Research use — </w:t>
      </w:r>
      <w:r>
        <w:t>The feast is not merely philanthropy. In the narrative it becomes a public act of service under Nityānanda’s command.</w:t>
      </w:r>
    </w:p>
    <w:p>
      <w:r>
        <w:t>The following morning Raghunātha asks through Rāghava Paṇḍita for the blessing of reaching Mahāprabhu. Nityānanda declares that Caitanya has come to deliver him and foretells precisely what will occur: Mahāprabhu will accept him and place him under Svarūpa Dāmodara. CC Antya 6.138–143 is therefore a crucial bridge between Pānihāṭi and 'Svarūpera Raghu.'</w:t>
      </w:r>
    </w:p>
    <w:p>
      <w:pPr>
        <w:pStyle w:val="Heading1"/>
        <w:keepNext w:val="1"/>
        <w:keepLines w:val="1"/>
      </w:pPr>
      <w:r>
        <w:t>9. The final escape and the twelve-day journey to Purī</w:t>
      </w:r>
    </w:p>
    <w:p>
      <w:r>
        <w:t>After Pānihāṭi Raghunātha stops sleeping in the interior apartments and remains in the external Durgā-maṇḍapa under guard. Near the end of one night Yadunandana Ācārya arrives with a service problem involving one of his disciples. Raghunātha accompanies him out past the sleeping guards and then persuades the ācārya to return home while he handles the matter.</w:t>
      </w:r>
    </w:p>
    <w:p>
      <w:r>
        <w:t>He then turns away, avoids the public road, and travels rapidly toward Purī. Kṛṣṇadāsa’s compressed numerical detail is memorable and should be retained:</w:t>
      </w:r>
    </w:p>
    <w:p>
      <w:r>
        <w:rPr>
          <w:b/>
          <w:color w:val="7B2638"/>
        </w:rPr>
        <w:t>Caitanya-caritāmṛta, Antya 6.188</w:t>
      </w:r>
    </w:p>
    <w:p>
      <w:pPr>
        <w:ind w:left="360" w:right="259"/>
      </w:pPr>
      <w:r>
        <w:rPr>
          <w:i/>
        </w:rPr>
        <w:t>bāra dine cali’ gelā śrī-puruṣottama</w:t>
        <w:br/>
        <w:t>pathe tina-dina mātra karilā bhojana ||188||</w:t>
      </w:r>
    </w:p>
    <w:p>
      <w:pPr>
        <w:ind w:left="360" w:right="259"/>
      </w:pPr>
      <w:r>
        <w:t>He reached Śrī Puruṣottama/Jagannātha Purī in twelve days and ate on only three days of the journey.</w:t>
      </w:r>
    </w:p>
    <w:p>
      <w:pPr>
        <w:ind w:left="360"/>
      </w:pPr>
      <w:r>
        <w:rPr>
          <w:b/>
          <w:color w:val="7B2638"/>
        </w:rPr>
        <w:t xml:space="preserve">Research use — </w:t>
      </w:r>
      <w:r>
        <w:t>A direct A2 chronological anchor. Later route reconstructions should not invent every overnight stop unless independently sourced.</w:t>
      </w:r>
    </w:p>
    <w:p>
      <w:pPr>
        <w:pStyle w:val="Heading1"/>
        <w:keepNext w:val="1"/>
        <w:keepLines w:val="1"/>
      </w:pPr>
      <w:r>
        <w:t>10. 'Svarūpera Raghu': Mahāprabhu formally gives him to Svarūpa Dāmodara</w:t>
      </w:r>
    </w:p>
    <w:p>
      <w:r>
        <w:rPr>
          <w:b/>
          <w:color w:val="7B2638"/>
        </w:rPr>
        <w:t>Caitanya-caritāmṛta, Antya 6.202–203</w:t>
      </w:r>
    </w:p>
    <w:p>
      <w:pPr>
        <w:ind w:left="360" w:right="259"/>
      </w:pPr>
      <w:r>
        <w:rPr>
          <w:i/>
        </w:rPr>
        <w:t>“ei raghunāthe āmi saṅpinu tomāre</w:t>
        <w:br/>
        <w:t>putra-bhṛtya-rūpe tumi kara aṅgīkāre” ||202||</w:t>
        <w:br/>
        <w:br/>
        <w:t>tina ‘raghunātha’-nāma haya āmāra gaṇe</w:t>
        <w:br/>
        <w:t>‘svarūpera raghu’ — āji haite ihāra nāme ||203||</w:t>
      </w:r>
    </w:p>
    <w:p>
      <w:pPr>
        <w:ind w:left="360" w:right="259"/>
      </w:pPr>
      <w:r>
        <w:t>“I entrust this Raghunātha to you; accept him as your son or servant.” Then Mahāprabhu distinguishes him from the other Raghunāthas: “From today his name is Svarūpa’s Raghu.”</w:t>
      </w:r>
    </w:p>
    <w:p>
      <w:pPr>
        <w:ind w:left="360"/>
      </w:pPr>
      <w:r>
        <w:rPr>
          <w:b/>
          <w:color w:val="7B2638"/>
        </w:rPr>
        <w:t xml:space="preserve">Research use — </w:t>
      </w:r>
      <w:r>
        <w:t>This is one of the central identity moments of his life. Later Rādhā-dāsya and Caitanya-līlā transmission should be narrated through this formative bond.</w:t>
      </w:r>
    </w:p>
    <w:p>
      <w:r>
        <w:t>Kṛṣṇadāsa repeatedly grounds his own Caitanya narrative in this transmission. Madhya 2.84 says Svarūpa’s treasure of Caitanya-līlā was kept 'in Raghunātha’s throat,' from whom Kṛṣṇadāsa heard it. Antya 3.269 similarly says he heard from Raghunātha what Svarūpa had written in his notes.</w:t>
      </w:r>
    </w:p>
    <w:p>
      <w:r>
        <w:rPr>
          <w:b/>
          <w:color w:val="7B2638"/>
        </w:rPr>
        <w:t>Caitanya-caritāmṛta, Madhya 2.84</w:t>
      </w:r>
    </w:p>
    <w:p>
      <w:pPr>
        <w:ind w:left="360" w:right="259"/>
      </w:pPr>
      <w:r>
        <w:rPr>
          <w:i/>
        </w:rPr>
        <w:t>caitanya-līlā-ratna-sāra, svarūpera bhāṇḍāra,</w:t>
        <w:br/>
        <w:t>teṅho thuilā raghunāthera kaṇṭhe |</w:t>
        <w:br/>
        <w:t>tāhāṅ kichu ye śuniluṅ, tāhā ihāṅ vistāriluṅ,</w:t>
        <w:br/>
        <w:t>bhakta-gaṇe diluṅ ei bheṭe ||84||</w:t>
      </w:r>
    </w:p>
    <w:p>
      <w:pPr>
        <w:ind w:left="360" w:right="259"/>
      </w:pPr>
      <w:r>
        <w:t>The jewel-essence of Caitanya’s līlā was Svarūpa’s storehouse; he placed it in Raghunātha’s throat. Whatever little I heard there, I have expanded here and offered as a gift to the devotees.</w:t>
      </w:r>
    </w:p>
    <w:p>
      <w:pPr>
        <w:ind w:left="360"/>
      </w:pPr>
      <w:r>
        <w:rPr>
          <w:b/>
          <w:color w:val="7B2638"/>
        </w:rPr>
        <w:t xml:space="preserve">Research use — </w:t>
      </w:r>
      <w:r>
        <w:t>This gives Raghunātha a second biographical identity: not only ascetic and poet, but transmitter of Mahāprabhu’s final years.</w:t>
      </w:r>
    </w:p>
    <w:p>
      <w:pPr>
        <w:pStyle w:val="Heading1"/>
        <w:keepNext w:val="1"/>
        <w:keepLines w:val="1"/>
      </w:pPr>
      <w:r>
        <w:t>11. Mahāprabhu’s direct instructions: the program of his mature life</w:t>
      </w:r>
    </w:p>
    <w:p>
      <w:r>
        <w:rPr>
          <w:b/>
          <w:color w:val="7B2638"/>
        </w:rPr>
        <w:t>Caitanya-caritāmṛta, Antya 6.236–237</w:t>
      </w:r>
    </w:p>
    <w:p>
      <w:pPr>
        <w:ind w:left="360" w:right="259"/>
      </w:pPr>
      <w:r>
        <w:rPr>
          <w:i/>
        </w:rPr>
        <w:t>grāmya-kathā nā śunibe, grāmya-vārtā nā kahibe</w:t>
        <w:br/>
        <w:t>bhāla nā khāibe āra bhāla nā paribe ||236||</w:t>
        <w:br/>
        <w:br/>
        <w:t>amānī mānada hañā kṛṣṇa-nāma sadā la’be</w:t>
        <w:br/>
        <w:t>vraje rādhā-kṛṣṇa-sevā mānase karibe ||237||</w:t>
      </w:r>
    </w:p>
    <w:p>
      <w:pPr>
        <w:ind w:left="360" w:right="259"/>
      </w:pPr>
      <w:r>
        <w:t>Do not listen to ordinary worldly talk or speak it. Do not eat luxurious food or dress finely. Do not seek honor; give honor to others. Always take Kṛṣṇa’s name, and mentally serve Rādhā and Kṛṣṇa in Vraja.</w:t>
      </w:r>
    </w:p>
    <w:p>
      <w:pPr>
        <w:ind w:left="360"/>
      </w:pPr>
      <w:r>
        <w:rPr>
          <w:b/>
          <w:color w:val="7B2638"/>
        </w:rPr>
        <w:t xml:space="preserve">Research use — </w:t>
      </w:r>
      <w:r>
        <w:t>These verses should be quoted prominently in the literary biography. They connect external simplicity, nāma, humility and mānasī-sevā.</w:t>
      </w:r>
    </w:p>
    <w:p>
      <w:r>
        <w:t>Mahāprabhu then tells him to learn the full detail from Svarūpa. Thus the instructions are deliberately concise and relational: the living elaboration comes through Svarūpa Dāmodara.</w:t>
      </w:r>
    </w:p>
    <w:p>
      <w:pPr>
        <w:pStyle w:val="Heading1"/>
        <w:keepNext w:val="1"/>
        <w:keepLines w:val="1"/>
      </w:pPr>
      <w:r>
        <w:t>12. Progressive renunciation in Purī</w:t>
      </w:r>
    </w:p>
    <w:p>
      <w:r>
        <w:t>Kṛṣṇadāsa presents Raghunātha’s austerity as progressive rather than instantaneous. For five days Govinda supplies Mahāprabhu’s remnants. Raghunātha then begs at the Siṁha-dvāra, later shifts to the public food-distribution chatras, refuses sustained dependence on family money, and finally subsists on rice rejected even by cows, washing it before eating.</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INTERPRETIVE CONTROL  </w:t>
            </w:r>
            <w:r>
              <w:t>Do not turn this progression into a generic command for devotees to imitate bodily deprivation. In the narrative it belongs to a specific person, under Mahāprabhu and Svarūpa’s direct oversight, after Mahāprabhu had earlier forbidden premature showy renunciation.</w:t>
            </w:r>
          </w:p>
        </w:tc>
      </w:tr>
    </w:tbl>
    <w:p>
      <w:r>
        <w:t>The climax is not that Raghunātha ate something disgusting, but Mahāprabhu’s response: He forcibly takes a morsel and declares that among all kinds of prasāda He has never tasted anything so pleasing. The episode recasts the rejected rice through devotion and the Lord’s affection.</w:t>
      </w:r>
    </w:p>
    <w:p>
      <w:pPr>
        <w:pStyle w:val="Heading1"/>
        <w:keepNext w:val="1"/>
        <w:keepLines w:val="1"/>
      </w:pPr>
      <w:r>
        <w:t>13. Govardhana-śilā and guñjā-mālā: Vraja placed into his hands</w:t>
      </w:r>
    </w:p>
    <w:p>
      <w:r>
        <w:t>Mahāprabhu personally gives Raghunātha a Govardhana stone and a guñjā garland. CC says Mahāprabhu had Himself cherished the stone, pressing it to His heart, eyes and head and wetting it with tears.</w:t>
      </w:r>
    </w:p>
    <w:p>
      <w:r>
        <w:rPr>
          <w:b/>
          <w:color w:val="7B2638"/>
        </w:rPr>
        <w:t>Caitanya-caritāmṛta, Antya 6.287</w:t>
      </w:r>
    </w:p>
    <w:p>
      <w:pPr>
        <w:ind w:left="360" w:right="259"/>
      </w:pPr>
      <w:r>
        <w:rPr>
          <w:i/>
        </w:rPr>
        <w:t>eta bali’ tāṅre punaḥ prasāda karilā</w:t>
        <w:br/>
        <w:t>‘govardhanera śilā’, ‘guñjā-mālā’ tāṅre dilā ||287||</w:t>
      </w:r>
    </w:p>
    <w:p>
      <w:pPr>
        <w:ind w:left="360" w:right="259"/>
      </w:pPr>
      <w:r>
        <w:t>After saying this, Mahāprabhu again bestowed His mercy upon Raghunātha by giving him a Govardhana-śilā and a guñjā-mālā.</w:t>
      </w:r>
    </w:p>
    <w:p>
      <w:pPr>
        <w:ind w:left="360"/>
      </w:pPr>
      <w:r>
        <w:rPr>
          <w:b/>
          <w:color w:val="7B2638"/>
        </w:rPr>
        <w:t xml:space="preserve">Research use — </w:t>
      </w:r>
      <w:r>
        <w:t>The śilā/guñjā pair becomes a biographical bridge from Purī to his later life at Govardhana and Rādhā-kuṇḍa.</w:t>
      </w:r>
    </w:p>
    <w:p>
      <w:r>
        <w:t>Raghunātha worships the stone simply with water and tulasī and sees Nanda’s son directly in it (Antya 6.300). He interprets the two gifts himself: the Govardhana-śilā grants a place near Govardhana, and the guñjā-mālā grants shelter at Rādhā’s lotus feet (6.306–307).</w:t>
      </w:r>
    </w:p>
    <w:p>
      <w:pPr>
        <w:pStyle w:val="Heading1"/>
        <w:keepNext w:val="1"/>
        <w:keepLines w:val="1"/>
      </w:pPr>
      <w:r>
        <w:t>14. Raghunātha remembers his own deliverance</w:t>
      </w:r>
    </w:p>
    <w:p>
      <w:r>
        <w:t>Caitanya-caritāmṛta explicitly quotes Raghunātha’s Gaurāṅga-stava-kalpavṛkṣa as his own account of deliverance. The same verse is present in the project Stavāvalī witness, making it one of the strongest self-authored biographical anchors.</w:t>
      </w:r>
    </w:p>
    <w:p>
      <w:r>
        <w:rPr>
          <w:b/>
          <w:color w:val="7B2638"/>
        </w:rPr>
        <w:t>Gaurāṅga-stava-kalpavṛkṣa 11; quoted at CC Antya 6.326–327</w:t>
      </w:r>
    </w:p>
    <w:p>
      <w:pPr>
        <w:ind w:left="360" w:right="259"/>
      </w:pPr>
      <w:r>
        <w:rPr>
          <w:i/>
        </w:rPr>
        <w:t>mahā-sampad-dāvād api patitam uddhṛtya kṛpayā</w:t>
        <w:br/>
        <w:t>svarūpe yaḥ svīye kujanam api māṁ nyasya muditaḥ |</w:t>
        <w:br/>
        <w:t>uro-guñjā-hāraṁ priyam api ca govardhana-śilāṁ</w:t>
        <w:br/>
        <w:t>dadau me gaurāṅgo hṛdaya udayan māṁ madayati ||11||</w:t>
      </w:r>
    </w:p>
    <w:p>
      <w:pPr>
        <w:ind w:left="360" w:right="259"/>
      </w:pPr>
      <w:r>
        <w:t>Gaurāṅga mercifully lifted me, fallen as I was, from the forest fire of immense wealth; joyfully He placed even such a low person as me with His own Svarūpa. He gave me the guñjā garland from His chest and the beloved Govardhana-śilā. Rising in my heart, that Gaurāṅga maddens me.</w:t>
      </w:r>
    </w:p>
    <w:p>
      <w:pPr>
        <w:ind w:left="360"/>
      </w:pPr>
      <w:r>
        <w:rPr>
          <w:b/>
          <w:color w:val="7B2638"/>
        </w:rPr>
        <w:t xml:space="preserve">Research use — </w:t>
      </w:r>
      <w:r>
        <w:t>Self-witness confirms the biography’s core arc: wealth → rescue → Svarūpa → guñjā/śilā → interior Gaurāṅga remembrance.</w:t>
      </w:r>
    </w:p>
    <w:p>
      <w:pPr>
        <w:pStyle w:val="Heading1"/>
        <w:keepNext w:val="1"/>
        <w:keepLines w:val="1"/>
      </w:pPr>
      <w:r>
        <w:t>15. Eyewitness, recorder, and transmitter of Mahāprabhu’s final līlā</w:t>
      </w:r>
    </w:p>
    <w:p>
      <w:r>
        <w:t>CC Antya 14.7–10 makes a striking claim: Svarūpa and Raghunātha lived with Mahāprabhu and recorded His activities; Svarūpa was the sūtra-kartā, maker of concise notes, and Raghunātha the vṛttikāra, maker of expanded descriptions. Whether every physical notebook survived is a separate manuscript-history question, but Kṛṣṇadāsa’s literary claim is explicit.</w:t>
      </w:r>
    </w:p>
    <w:p>
      <w:r>
        <w:rPr>
          <w:b/>
          <w:color w:val="7B2638"/>
        </w:rPr>
        <w:t>Caitanya-caritāmṛta, Antya 14.10</w:t>
      </w:r>
    </w:p>
    <w:p>
      <w:pPr>
        <w:ind w:left="360" w:right="259"/>
      </w:pPr>
      <w:r>
        <w:rPr>
          <w:i/>
        </w:rPr>
        <w:t>svarūpa — ‘sūtra-kartā’, raghunātha — ‘vṛttikāra’</w:t>
        <w:br/>
        <w:t>tāra bāhulya varṇi — pāṅji-ṭīkā-vyavahāra ||10||</w:t>
      </w:r>
    </w:p>
    <w:p>
      <w:pPr>
        <w:ind w:left="360" w:right="259"/>
      </w:pPr>
      <w:r>
        <w:t>Svarūpa was the maker of concise sūtras; Raghunātha was the elaborating commentator. Kṛṣṇadāsa compares his own expansion of their material to fluffing compressed cotton.</w:t>
      </w:r>
    </w:p>
    <w:p>
      <w:pPr>
        <w:ind w:left="360"/>
      </w:pPr>
      <w:r>
        <w:rPr>
          <w:b/>
          <w:color w:val="7B2638"/>
        </w:rPr>
        <w:t xml:space="preserve">Research use — </w:t>
      </w:r>
      <w:r>
        <w:t>The literary biography should restore this role to prominence. Raghunātha is a source behind Caitanya-caritāmṛta, not merely one of its subjects.</w:t>
      </w:r>
    </w:p>
    <w:p>
      <w:pPr>
        <w:pStyle w:val="Heading1"/>
        <w:keepNext w:val="1"/>
        <w:keepLines w:val="1"/>
      </w:pPr>
      <w:r>
        <w:t>16. Bereavement, Vraja, and the desire to die at Govardhana</w:t>
      </w:r>
    </w:p>
    <w:p>
      <w:r>
        <w:t>After Mahāprabhu and Svarūpa disappear, Kṛṣṇadāsa says Raghunātha leaves Purī for Vṛndāvana. His stated intention was to behold Rūpa and Sanātana and then give up his life by jumping from Govardhana. Rūpa and Sanātana stop him, receive him as their third brother, and repeatedly hear Caitanya-līlā from him.</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SOURCE CORRECTION  </w:t>
            </w:r>
            <w:r>
              <w:t>The Govardhana death-intention is not merely a late Padakalpataru story. It is already explicit in Caitanya-caritāmṛta Ādi 10.94–97. Later poetic retellings may enrich the emotional scene, but the core event is A2-level.</w:t>
            </w:r>
          </w:p>
        </w:tc>
      </w:tr>
    </w:tbl>
    <w:p>
      <w:pPr>
        <w:pStyle w:val="Heading1"/>
        <w:keepNext w:val="1"/>
        <w:keepLines w:val="1"/>
      </w:pPr>
      <w:r>
        <w:t>17. His own Vraja orientation: Rūpa, Sanātana, Govardhana, and Rādhā-kuṇḍa</w:t>
      </w:r>
    </w:p>
    <w:p>
      <w:r>
        <w:t>Raghunātha’s own prayers show how his Vraja life is structured. Manaḥ-śikṣā does not present solitary independence: it commands the mind to remember guru, Vraja, Vrajavāsīs, Svarūpa, Rūpa and Sanātana and to cultivate service to Rādhā-Kṛṣṇa.</w:t>
      </w:r>
    </w:p>
    <w:p>
      <w:r>
        <w:t>The Govardhana prayers ask for residence near Girirāja, while Rādhā-kuṇḍāṣṭaka repeatedly ends with rādhā-kuṇḍam evāśrayo me — 'May Rādhā-kuṇḍa be my shelter.' Vilāpa-kusumāñjali turns that shelter into direct residence-prayer.</w:t>
      </w:r>
    </w:p>
    <w:p>
      <w:r>
        <w:rPr>
          <w:b/>
          <w:color w:val="7B2638"/>
        </w:rPr>
        <w:t>Vilāpa-kusumāñjali 97</w:t>
      </w:r>
    </w:p>
    <w:p>
      <w:pPr>
        <w:ind w:left="360" w:right="259"/>
      </w:pPr>
      <w:r>
        <w:rPr>
          <w:i/>
        </w:rPr>
        <w:t>sva-kuṇḍaṁ tava lolākṣi</w:t>
        <w:br/>
        <w:t>sa-priyāyāḥ sadāspadam |</w:t>
        <w:br/>
        <w:t>atraiva mama saṁvāsa</w:t>
        <w:br/>
        <w:t>ihaiva mama saṁsthitiḥ ||97||</w:t>
      </w:r>
    </w:p>
    <w:p>
      <w:pPr>
        <w:ind w:left="360" w:right="259"/>
      </w:pPr>
      <w:r>
        <w:t>O restless-eyed one, Your own kuṇḍa is the eternal abode of You together with Your beloved. Here alone shall be my residence; here alone shall be my abiding place.</w:t>
      </w:r>
    </w:p>
    <w:p>
      <w:pPr>
        <w:ind w:left="360"/>
      </w:pPr>
      <w:r>
        <w:rPr>
          <w:b/>
          <w:color w:val="7B2638"/>
        </w:rPr>
        <w:t xml:space="preserve">Research use — </w:t>
      </w:r>
      <w:r>
        <w:t>The strongest A1 text for why Rādhā-kuṇḍa is not incidental to his biography but its final geographic center.</w:t>
      </w:r>
    </w:p>
    <w:p>
      <w:pPr>
        <w:pStyle w:val="Heading1"/>
        <w:keepNext w:val="1"/>
        <w:keepLines w:val="1"/>
      </w:pPr>
      <w:r>
        <w:t>18. Rādhā-kuṇḍa sādhana: the exact numbers in Caitanya-caritāmṛta</w:t>
      </w:r>
    </w:p>
    <w:p>
      <w:r>
        <w:t>Popular biographies often repeat spectacular numerical summaries of Raghunātha’s daily practice. In this case the core numbers are not only late legend; they are stated by Kṛṣṇadāsa Kavirāja in Ādi 10.98–102.</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7B2638"/>
            <w:tcMar>
              <w:top w:w="55" w:type="dxa"/>
              <w:start w:w="65" w:type="dxa"/>
              <w:bottom w:w="55" w:type="dxa"/>
              <w:end w:w="65" w:type="dxa"/>
            </w:tcMar>
          </w:tcPr>
          <w:p>
            <w:r>
              <w:rPr>
                <w:b/>
                <w:color w:val="FFFFFF"/>
              </w:rPr>
              <w:t>Practice</w:t>
            </w:r>
          </w:p>
        </w:tc>
        <w:tc>
          <w:tcPr>
            <w:tcW w:type="dxa" w:w="3389"/>
            <w:shd w:fill="7B2638"/>
            <w:tcMar>
              <w:top w:w="55" w:type="dxa"/>
              <w:start w:w="65" w:type="dxa"/>
              <w:bottom w:w="55" w:type="dxa"/>
              <w:end w:w="65" w:type="dxa"/>
            </w:tcMar>
          </w:tcPr>
          <w:p>
            <w:r>
              <w:rPr>
                <w:b/>
                <w:color w:val="FFFFFF"/>
              </w:rPr>
              <w:t>Kṛṣṇadāsa’s claim</w:t>
            </w:r>
          </w:p>
        </w:tc>
        <w:tc>
          <w:tcPr>
            <w:tcW w:type="dxa" w:w="3389"/>
            <w:shd w:fill="7B2638"/>
            <w:tcMar>
              <w:top w:w="55" w:type="dxa"/>
              <w:start w:w="65" w:type="dxa"/>
              <w:bottom w:w="55" w:type="dxa"/>
              <w:end w:w="65" w:type="dxa"/>
            </w:tcMar>
          </w:tcPr>
          <w:p>
            <w:r>
              <w:rPr>
                <w:b/>
                <w:color w:val="FFFFFF"/>
              </w:rPr>
              <w:t>Locus</w:t>
            </w:r>
          </w:p>
        </w:tc>
      </w:tr>
      <w:tr>
        <w:trPr>
          <w:cantSplit w:val="1"/>
        </w:trPr>
        <w:tc>
          <w:tcPr>
            <w:tcW w:type="dxa" w:w="3389"/>
            <w:tcMar>
              <w:top w:w="50" w:type="dxa"/>
              <w:start w:w="60" w:type="dxa"/>
              <w:bottom w:w="50" w:type="dxa"/>
              <w:end w:w="60" w:type="dxa"/>
            </w:tcMar>
          </w:tcPr>
          <w:p>
            <w:r>
              <w:t>Food</w:t>
            </w:r>
          </w:p>
        </w:tc>
        <w:tc>
          <w:tcPr>
            <w:tcW w:type="dxa" w:w="3389"/>
            <w:tcMar>
              <w:top w:w="50" w:type="dxa"/>
              <w:start w:w="60" w:type="dxa"/>
              <w:bottom w:w="50" w:type="dxa"/>
              <w:end w:w="60" w:type="dxa"/>
            </w:tcMar>
          </w:tcPr>
          <w:p>
            <w:r>
              <w:t>Gradually reduced to a few drops of buttermilk.</w:t>
            </w:r>
          </w:p>
        </w:tc>
        <w:tc>
          <w:tcPr>
            <w:tcW w:type="dxa" w:w="3389"/>
            <w:tcMar>
              <w:top w:w="50" w:type="dxa"/>
              <w:start w:w="60" w:type="dxa"/>
              <w:bottom w:w="50" w:type="dxa"/>
              <w:end w:w="60" w:type="dxa"/>
            </w:tcMar>
          </w:tcPr>
          <w:p>
            <w:r>
              <w:t>CC Ādi 10.98</w:t>
            </w:r>
          </w:p>
        </w:tc>
      </w:tr>
      <w:tr>
        <w:trPr>
          <w:cantSplit w:val="1"/>
        </w:trPr>
        <w:tc>
          <w:tcPr>
            <w:tcW w:type="dxa" w:w="3389"/>
            <w:tcMar>
              <w:top w:w="50" w:type="dxa"/>
              <w:start w:w="60" w:type="dxa"/>
              <w:bottom w:w="50" w:type="dxa"/>
              <w:end w:w="60" w:type="dxa"/>
            </w:tcMar>
          </w:tcPr>
          <w:p>
            <w:r>
              <w:t>Daṇḍavats</w:t>
            </w:r>
          </w:p>
        </w:tc>
        <w:tc>
          <w:tcPr>
            <w:tcW w:type="dxa" w:w="3389"/>
            <w:tcMar>
              <w:top w:w="50" w:type="dxa"/>
              <w:start w:w="60" w:type="dxa"/>
              <w:bottom w:w="50" w:type="dxa"/>
              <w:end w:w="60" w:type="dxa"/>
            </w:tcMar>
          </w:tcPr>
          <w:p>
            <w:r>
              <w:t>1,000 obeisances daily.</w:t>
            </w:r>
          </w:p>
        </w:tc>
        <w:tc>
          <w:tcPr>
            <w:tcW w:type="dxa" w:w="3389"/>
            <w:tcMar>
              <w:top w:w="50" w:type="dxa"/>
              <w:start w:w="60" w:type="dxa"/>
              <w:bottom w:w="50" w:type="dxa"/>
              <w:end w:w="60" w:type="dxa"/>
            </w:tcMar>
          </w:tcPr>
          <w:p>
            <w:r>
              <w:t>CC Ādi 10.99</w:t>
            </w:r>
          </w:p>
        </w:tc>
      </w:tr>
      <w:tr>
        <w:trPr>
          <w:cantSplit w:val="1"/>
        </w:trPr>
        <w:tc>
          <w:tcPr>
            <w:tcW w:type="dxa" w:w="3389"/>
            <w:tcMar>
              <w:top w:w="50" w:type="dxa"/>
              <w:start w:w="60" w:type="dxa"/>
              <w:bottom w:w="50" w:type="dxa"/>
              <w:end w:w="60" w:type="dxa"/>
            </w:tcMar>
          </w:tcPr>
          <w:p>
            <w:r>
              <w:t>Nāma</w:t>
            </w:r>
          </w:p>
        </w:tc>
        <w:tc>
          <w:tcPr>
            <w:tcW w:type="dxa" w:w="3389"/>
            <w:tcMar>
              <w:top w:w="50" w:type="dxa"/>
              <w:start w:w="60" w:type="dxa"/>
              <w:bottom w:w="50" w:type="dxa"/>
              <w:end w:w="60" w:type="dxa"/>
            </w:tcMar>
          </w:tcPr>
          <w:p>
            <w:r>
              <w:t>At least 100,000 holy names daily.</w:t>
            </w:r>
          </w:p>
        </w:tc>
        <w:tc>
          <w:tcPr>
            <w:tcW w:type="dxa" w:w="3389"/>
            <w:tcMar>
              <w:top w:w="50" w:type="dxa"/>
              <w:start w:w="60" w:type="dxa"/>
              <w:bottom w:w="50" w:type="dxa"/>
              <w:end w:w="60" w:type="dxa"/>
            </w:tcMar>
          </w:tcPr>
          <w:p>
            <w:r>
              <w:t>CC Ādi 10.99</w:t>
            </w:r>
          </w:p>
        </w:tc>
      </w:tr>
      <w:tr>
        <w:trPr>
          <w:cantSplit w:val="1"/>
        </w:trPr>
        <w:tc>
          <w:tcPr>
            <w:tcW w:type="dxa" w:w="3389"/>
            <w:tcMar>
              <w:top w:w="50" w:type="dxa"/>
              <w:start w:w="60" w:type="dxa"/>
              <w:bottom w:w="50" w:type="dxa"/>
              <w:end w:w="60" w:type="dxa"/>
            </w:tcMar>
          </w:tcPr>
          <w:p>
            <w:r>
              <w:t>Vaiṣṇava respect</w:t>
            </w:r>
          </w:p>
        </w:tc>
        <w:tc>
          <w:tcPr>
            <w:tcW w:type="dxa" w:w="3389"/>
            <w:tcMar>
              <w:top w:w="50" w:type="dxa"/>
              <w:start w:w="60" w:type="dxa"/>
              <w:bottom w:w="50" w:type="dxa"/>
              <w:end w:w="60" w:type="dxa"/>
            </w:tcMar>
          </w:tcPr>
          <w:p>
            <w:r>
              <w:t>Obeisances to 2,000 Vaiṣṇavas daily.</w:t>
            </w:r>
          </w:p>
        </w:tc>
        <w:tc>
          <w:tcPr>
            <w:tcW w:type="dxa" w:w="3389"/>
            <w:tcMar>
              <w:top w:w="50" w:type="dxa"/>
              <w:start w:w="60" w:type="dxa"/>
              <w:bottom w:w="50" w:type="dxa"/>
              <w:end w:w="60" w:type="dxa"/>
            </w:tcMar>
          </w:tcPr>
          <w:p>
            <w:r>
              <w:t>CC Ādi 10.99</w:t>
            </w:r>
          </w:p>
        </w:tc>
      </w:tr>
      <w:tr>
        <w:trPr>
          <w:cantSplit w:val="1"/>
        </w:trPr>
        <w:tc>
          <w:tcPr>
            <w:tcW w:type="dxa" w:w="3389"/>
            <w:tcMar>
              <w:top w:w="50" w:type="dxa"/>
              <w:start w:w="60" w:type="dxa"/>
              <w:bottom w:w="50" w:type="dxa"/>
              <w:end w:w="60" w:type="dxa"/>
            </w:tcMar>
          </w:tcPr>
          <w:p>
            <w:r>
              <w:t>Mānasī-sevā</w:t>
            </w:r>
          </w:p>
        </w:tc>
        <w:tc>
          <w:tcPr>
            <w:tcW w:type="dxa" w:w="3389"/>
            <w:tcMar>
              <w:top w:w="50" w:type="dxa"/>
              <w:start w:w="60" w:type="dxa"/>
              <w:bottom w:w="50" w:type="dxa"/>
              <w:end w:w="60" w:type="dxa"/>
            </w:tcMar>
          </w:tcPr>
          <w:p>
            <w:r>
              <w:t>Day and night mental service to Rādhā-Kṛṣṇa.</w:t>
            </w:r>
          </w:p>
        </w:tc>
        <w:tc>
          <w:tcPr>
            <w:tcW w:type="dxa" w:w="3389"/>
            <w:tcMar>
              <w:top w:w="50" w:type="dxa"/>
              <w:start w:w="60" w:type="dxa"/>
              <w:bottom w:w="50" w:type="dxa"/>
              <w:end w:w="60" w:type="dxa"/>
            </w:tcMar>
          </w:tcPr>
          <w:p>
            <w:r>
              <w:t>CC Ādi 10.100</w:t>
            </w:r>
          </w:p>
        </w:tc>
      </w:tr>
      <w:tr>
        <w:trPr>
          <w:cantSplit w:val="1"/>
        </w:trPr>
        <w:tc>
          <w:tcPr>
            <w:tcW w:type="dxa" w:w="3389"/>
            <w:tcMar>
              <w:top w:w="50" w:type="dxa"/>
              <w:start w:w="60" w:type="dxa"/>
              <w:bottom w:w="50" w:type="dxa"/>
              <w:end w:w="60" w:type="dxa"/>
            </w:tcMar>
          </w:tcPr>
          <w:p>
            <w:r>
              <w:t>Caitanya-kathā</w:t>
            </w:r>
          </w:p>
        </w:tc>
        <w:tc>
          <w:tcPr>
            <w:tcW w:type="dxa" w:w="3389"/>
            <w:tcMar>
              <w:top w:w="50" w:type="dxa"/>
              <w:start w:w="60" w:type="dxa"/>
              <w:bottom w:w="50" w:type="dxa"/>
              <w:end w:w="60" w:type="dxa"/>
            </w:tcMar>
          </w:tcPr>
          <w:p>
            <w:r>
              <w:t>Three hours daily speaking Caitanya’s character/līlā.</w:t>
            </w:r>
          </w:p>
        </w:tc>
        <w:tc>
          <w:tcPr>
            <w:tcW w:type="dxa" w:w="3389"/>
            <w:tcMar>
              <w:top w:w="50" w:type="dxa"/>
              <w:start w:w="60" w:type="dxa"/>
              <w:bottom w:w="50" w:type="dxa"/>
              <w:end w:w="60" w:type="dxa"/>
            </w:tcMar>
          </w:tcPr>
          <w:p>
            <w:r>
              <w:t>CC Ādi 10.100</w:t>
            </w:r>
          </w:p>
        </w:tc>
      </w:tr>
      <w:tr>
        <w:trPr>
          <w:cantSplit w:val="1"/>
        </w:trPr>
        <w:tc>
          <w:tcPr>
            <w:tcW w:type="dxa" w:w="3389"/>
            <w:tcMar>
              <w:top w:w="50" w:type="dxa"/>
              <w:start w:w="60" w:type="dxa"/>
              <w:bottom w:w="50" w:type="dxa"/>
              <w:end w:w="60" w:type="dxa"/>
            </w:tcMar>
          </w:tcPr>
          <w:p>
            <w:r>
              <w:t>Rādhā-kuṇḍa bath</w:t>
            </w:r>
          </w:p>
        </w:tc>
        <w:tc>
          <w:tcPr>
            <w:tcW w:type="dxa" w:w="3389"/>
            <w:tcMar>
              <w:top w:w="50" w:type="dxa"/>
              <w:start w:w="60" w:type="dxa"/>
              <w:bottom w:w="50" w:type="dxa"/>
              <w:end w:w="60" w:type="dxa"/>
            </w:tcMar>
          </w:tcPr>
          <w:p>
            <w:r>
              <w:t>Three baths daily.</w:t>
            </w:r>
          </w:p>
        </w:tc>
        <w:tc>
          <w:tcPr>
            <w:tcW w:type="dxa" w:w="3389"/>
            <w:tcMar>
              <w:top w:w="50" w:type="dxa"/>
              <w:start w:w="60" w:type="dxa"/>
              <w:bottom w:w="50" w:type="dxa"/>
              <w:end w:w="60" w:type="dxa"/>
            </w:tcMar>
          </w:tcPr>
          <w:p>
            <w:r>
              <w:t>CC Ādi 10.101</w:t>
            </w:r>
          </w:p>
        </w:tc>
      </w:tr>
      <w:tr>
        <w:trPr>
          <w:cantSplit w:val="1"/>
        </w:trPr>
        <w:tc>
          <w:tcPr>
            <w:tcW w:type="dxa" w:w="3389"/>
            <w:tcMar>
              <w:top w:w="50" w:type="dxa"/>
              <w:start w:w="60" w:type="dxa"/>
              <w:bottom w:w="50" w:type="dxa"/>
              <w:end w:w="60" w:type="dxa"/>
            </w:tcMar>
          </w:tcPr>
          <w:p>
            <w:r>
              <w:t>Devotional time</w:t>
            </w:r>
          </w:p>
        </w:tc>
        <w:tc>
          <w:tcPr>
            <w:tcW w:type="dxa" w:w="3389"/>
            <w:tcMar>
              <w:top w:w="50" w:type="dxa"/>
              <w:start w:w="60" w:type="dxa"/>
              <w:bottom w:w="50" w:type="dxa"/>
              <w:end w:w="60" w:type="dxa"/>
            </w:tcMar>
          </w:tcPr>
          <w:p>
            <w:r>
              <w:t>More than 22.5 hours daily.</w:t>
            </w:r>
          </w:p>
        </w:tc>
        <w:tc>
          <w:tcPr>
            <w:tcW w:type="dxa" w:w="3389"/>
            <w:tcMar>
              <w:top w:w="50" w:type="dxa"/>
              <w:start w:w="60" w:type="dxa"/>
              <w:bottom w:w="50" w:type="dxa"/>
              <w:end w:w="60" w:type="dxa"/>
            </w:tcMar>
          </w:tcPr>
          <w:p>
            <w:r>
              <w:t>CC Ādi 10.102</w:t>
            </w:r>
          </w:p>
        </w:tc>
      </w:tr>
      <w:tr>
        <w:trPr>
          <w:cantSplit w:val="1"/>
        </w:trPr>
        <w:tc>
          <w:tcPr>
            <w:tcW w:type="dxa" w:w="3389"/>
            <w:tcMar>
              <w:top w:w="50" w:type="dxa"/>
              <w:start w:w="60" w:type="dxa"/>
              <w:bottom w:w="50" w:type="dxa"/>
              <w:end w:w="60" w:type="dxa"/>
            </w:tcMar>
          </w:tcPr>
          <w:p>
            <w:r>
              <w:t>Sleep</w:t>
            </w:r>
          </w:p>
        </w:tc>
        <w:tc>
          <w:tcPr>
            <w:tcW w:type="dxa" w:w="3389"/>
            <w:tcMar>
              <w:top w:w="50" w:type="dxa"/>
              <w:start w:w="60" w:type="dxa"/>
              <w:bottom w:w="50" w:type="dxa"/>
              <w:end w:w="60" w:type="dxa"/>
            </w:tcMar>
          </w:tcPr>
          <w:p>
            <w:r>
              <w:t>Less than 2 hours; sometimes none.</w:t>
            </w:r>
          </w:p>
        </w:tc>
        <w:tc>
          <w:tcPr>
            <w:tcW w:type="dxa" w:w="3389"/>
            <w:tcMar>
              <w:top w:w="50" w:type="dxa"/>
              <w:start w:w="60" w:type="dxa"/>
              <w:bottom w:w="50" w:type="dxa"/>
              <w:end w:w="60" w:type="dxa"/>
            </w:tcMar>
          </w:tcPr>
          <w:p>
            <w:r>
              <w:t>CC Ādi 10.102</w:t>
            </w:r>
          </w:p>
        </w:tc>
      </w:tr>
    </w:tbl>
    <w:p>
      <w:r>
        <w:t>Later accounts translate these totals into prahara/daṇḍa language and elaborate his food regimen. Such retellings may be cited as reception, but the final biography should lead with Kṛṣṇadāsa’s exact A2-level claims.</w:t>
      </w:r>
    </w:p>
    <w:p>
      <w:pPr>
        <w:pStyle w:val="Heading1"/>
        <w:keepNext w:val="1"/>
        <w:keepLines w:val="1"/>
      </w:pPr>
      <w:r>
        <w:t>19. Raghunātha and the restoration of the twin kuṇḍas</w:t>
      </w:r>
    </w:p>
    <w:p>
      <w:r>
        <w:t>Bhakti-ratnākara remembers Raghunātha longing to see the two paddy-field waters restored but rebuking himself at the thought of seeking money. An unnamed wealthy pilgrim receives a dream at Badarikāśrama directing him to give funds to Raghunātha. Raghunātha then accepts the funds for the sacred work and directs cleaning/excavation.</w:t>
      </w:r>
    </w:p>
    <w:p>
      <w:r>
        <w:t>The same B-level narrative explains the non-square form of the companion kuṇḍa through the five Pāṇḍavas appearing in a dream and asking that the trees in which they reside not be cut. This is early sacred-memory and should be narrated devotionally while being kept distinct from modern archaeology.</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WORDING RULE  </w:t>
            </w:r>
            <w:r>
              <w:t>Prefer 'restoration,' 'desilting,' 'cleaning,' and 'excavation/enlargement' for the Bhakti-ratnākara phase. Do not say Raghunātha created Rādhā-kuṇḍa ex nihilo; the manifestation belongs to the eternal/līlā narrative and Mahāprabhu had already recognized the obscured tīrtha.</w:t>
            </w:r>
          </w:p>
        </w:tc>
      </w:tr>
    </w:tbl>
    <w:p>
      <w:pPr>
        <w:pStyle w:val="Heading1"/>
        <w:keepNext w:val="1"/>
        <w:keepLines w:val="1"/>
      </w:pPr>
      <w:r>
        <w:t>20. The first-kuṭīra tradition and Sanātana’s intervention</w:t>
      </w:r>
    </w:p>
    <w:p>
      <w:r>
        <w:t>Bhakti-ratnākara says Raghunātha initially had no desire for a house and remained day and night beneath a tree. Sanātana saw a tiger pass close to him while Raghunātha was absorbed in meditation and urged him to accept a dwelling. Raghunātha obeyed. This is an important early tradition because it reveals that accepting a kuṭīra is represented as obedience to Sanātana, not decline from renunciation.</w:t>
      </w:r>
    </w:p>
    <w:p>
      <w:r>
        <w:t>The present bhajana-kuṭīra is a devotional memorial of this residence tradition, but the exact surviving structure should not be declared the unchanged sixteenth-century hut without architectural/documentary continuity.</w:t>
      </w:r>
    </w:p>
    <w:p>
      <w:pPr>
        <w:pStyle w:val="Heading1"/>
        <w:keepNext w:val="1"/>
        <w:keepLines w:val="1"/>
      </w:pPr>
      <w:r>
        <w:t>21. Documentary Rādhā-kuṇḍa: land, hiba, and dwelling</w:t>
      </w:r>
    </w:p>
    <w:p>
      <w:pPr>
        <w:pStyle w:val="Heading2"/>
        <w:keepNext w:val="1"/>
        <w:keepLines w:val="1"/>
      </w:pPr>
      <w:r>
        <w:t>21.1 The 1588 hiba</w:t>
      </w:r>
    </w:p>
    <w:p>
      <w:r>
        <w:t>Mukherjee and Habib’s study of the Rādhā-kuṇḍa land papers identifies Document 11/G.D.8 as an original Persian declaration dated 7 Rajab 996 AH / 2 June 1588, bearing the seal of Qazi Badruddin Husain. It reports that 'Gusain Raghunath' had acquired six plots in the neighborhood of the tank at Āriṭha for a stated aggregate prior price of Rs238 and made a hiba, gift, of them to Jīva Gosvāmī.</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color w:val="7B2638"/>
              </w:rPr>
              <w:t xml:space="preserve">DO NOT SAY  </w:t>
            </w:r>
            <w:r>
              <w:t>Do not write that Raghunātha 'bought the two lakes for 238 rupees.' The secure document concerns six land plots; Rs238 is the stated aggregate price of earlier acquisitions, and the 1588 transfer to Jīva is a gift (hiba), not a sale.</w:t>
            </w:r>
          </w:p>
        </w:tc>
      </w:tr>
    </w:tbl>
    <w:p>
      <w:r>
        <w:t>Mukherjee and Habib also argue that several component deeds carrying earlier dates were retrospectively or fictitiously prepared. The 1588 declaration is therefore a secure dated legal artifact within the Āriṭ dossier, but not a simple personal-survival anchor. For Raghunātha’s final-life chronology, the separate 1584 deathbed settlement is the stronger documentary evidence.</w:t>
      </w:r>
    </w:p>
    <w:p>
      <w:pPr>
        <w:pStyle w:val="Heading2"/>
        <w:keepNext w:val="1"/>
      </w:pPr>
      <w:r>
        <w:t>21.2 The 1584 deathbed settlement</w:t>
      </w:r>
    </w:p>
    <w:p>
      <w:r>
        <w:rPr>
          <w:b w:val="0"/>
        </w:rPr>
        <w:t>Mukherjee and Wright identify two Vṛndāvana Research Institute copies of an original Raghunātha settlement dated A.D. 1584. Their translation says that Raghunātha, “dictating the document to Kaviraja on my death bed,” describes himself as devoted to the service of Śrī Rādhā-kuṇḍa and places his property at the lotus feet of the deity worshiped by Jīva. The article cites VRI ser. 3, acc. 37 and ser. 4, acc. 37A.</w:t>
      </w:r>
    </w:p>
    <w:p>
      <w:pPr/>
      <w:r>
        <w:t>This document sharply changes how the later 1588 Āriṭ papers should be read. It supplies a direct late-life horizon in 1584 and shows that a first-person legal formula in the retrospectively prepared 1588 dossier cannot automatically be treated as proof of physical presence in that year.</w:t>
      </w:r>
    </w:p>
    <w:p>
      <w:pPr>
        <w:pStyle w:val="Heading2"/>
        <w:keepNext w:val="1"/>
        <w:keepLines w:val="1"/>
      </w:pPr>
      <w:r>
        <w:t>21.3 The 1637 dwelling reference</w:t>
      </w:r>
    </w:p>
    <w:p>
      <w:r>
        <w:t>Mukherjee and Wright’s 1637 testamentary/deposition material traces property through Rūpa, Sanātana and Raghunātha to Jīva and subsequent custodians and explicitly refers to premises at Śrī-kuṇḍa including the dwelling place of Śrī Raghunātha dāsa Gosvāmī. This is valuable documentary evidence for a remembered/recognized Raghunātha residence-site, but it does not prove that the present masonry memorial is unchanged from his lifetime.</w:t>
      </w:r>
    </w:p>
    <w:p>
      <w:pPr>
        <w:pStyle w:val="Heading1"/>
        <w:keepNext w:val="1"/>
        <w:keepLines w:val="1"/>
      </w:pPr>
      <w:r>
        <w:t>22. Raghunātha as elder of the Rādhā-kuṇḍa community</w:t>
      </w:r>
    </w:p>
    <w:p>
      <w:r>
        <w:t>Bhakti-ratnākara does not portray late Rādhā-kuṇḍa as a solitary hermitage occupied only by Raghunātha. It presents a community of Vaiṣṇavas centered on the twin waters, with Kṛṣṇadāsa Kavirāja and others present.</w:t>
      </w:r>
    </w:p>
    <w:p>
      <w:r>
        <w:t>When Śrīnivāsa and Narottama are brought to Raghunātha, the aged Gosvāmī is physically weak but rises to embrace them. The text then has Kṛṣṇadāsa Kavirāja and the other Rādhā-kuṇḍa Vaiṣṇavas receive them. This is B-level evidence for Raghunātha as a senior living center of grace and transmission.</w:t>
      </w:r>
    </w:p>
    <w:p>
      <w:r>
        <w:t>A separate Bhakti-ratnākara narrative has Rāmacandra Kavirāja visit Āriṭ/Rādhā-kuṇḍa, bathe, bow to Raghunātha, receive his affectionate embrace and meet Kṛṣṇadāsa Kavirāja. These episodes will be important in the biography’s chapter on the next generation.</w:t>
      </w:r>
    </w:p>
    <w:p>
      <w:pPr>
        <w:pStyle w:val="Heading1"/>
        <w:keepNext w:val="1"/>
        <w:keepLines w:val="1"/>
      </w:pPr>
      <w:r>
        <w:t>23. Raghunātha and Kṛṣṇadāsa Kavirāja</w:t>
      </w:r>
    </w:p>
    <w:p>
      <w:r>
        <w:t>Kṛṣṇadāsa’s dependence on Raghunātha is unusually explicit. He repeatedly ends chapters with śrī-rūpa-raghunātha-pade yāra āśa and Ādi 10.103 identifies Rūpa and Raghunātha as his guides. More importantly, Madhya 2.84 and Antya 3.269 state that the Caitanya-līlā material of Svarūpa Dāmodara reached him through Raghunātha.</w:t>
      </w:r>
    </w:p>
    <w:p>
      <w:r>
        <w:t>The literary biography should therefore treat Raghunātha as one of the human transmission hinges behind Caitanya-caritāmṛta. The phrase 'repository of Gauḍīya memory' is a project synthesis; it is not a quotation, but it is well grounded in Kṛṣṇadāsa’s own testimony.</w:t>
      </w:r>
    </w:p>
    <w:p>
      <w:pPr>
        <w:pStyle w:val="Heading1"/>
        <w:keepNext w:val="1"/>
        <w:keepLines w:val="1"/>
      </w:pPr>
      <w:r>
        <w:t>24. Writings: what survives and what the early book lists say</w:t>
      </w:r>
    </w:p>
    <w:p>
      <w:r>
        <w:t>The project Stavāvalī witness contains thirty numbered devotional compositions. The most biographically important are the Śacī-sūnv-aṣṭaka, Gaurāṅga-stava-kalpavṛkṣa, Manaḥ-śikṣā, Govardhanāśraya-daśaka, Govardhana-vāsa-prārthanā-daśaka, Rādhā-kuṇḍāṣṭaka, Vilāpa-kusumāñjali, Vraja-vilāsa-stava, Sva-niyama-daśaka, Sva-saṅkalpa-prakāśa-stotra, Prārthanāmṛta-stotra, Rādhikāṣṭaka, Gāndharvā-samprārthanāṣṭaka, Rādhā-Kṛṣṇojjvala-kusuma-keli, Dāna-nirvartana-kuṇḍāṣṭaka and related prayers.</w:t>
      </w:r>
    </w:p>
    <w:p>
      <w:r>
        <w:t>Muktā-carita survives separately in the project corpus; its title page explicitly names Śrīla Raghunāthadāsa Gosvāmin as author. Its invocation and concluding literary genealogy link the work with Gaurāṅga, Svarūpa, Rūpa, Sanātana, Jīva and Kṛṣṇadāsa. Early Bhakti-ratnākara pilgrimage tradition uses Muktā-carita to interpret Mālyahāri-kuṇḍa.</w:t>
      </w:r>
    </w:p>
    <w:p>
      <w:r>
        <w:t>Bhakti-ratnākara’s bibliographic memory says Raghunātha wrote Stavamālā/Stavāvalī, Dāna-carita and Muktā-carita. RDG-R03 has now established that the surviving Dāna-keli-cintāmaṇi is very probably the work meant by Dāna-carita: it is a 175-verse Raghunātha text on dāna-līlā, preserved through the Haridāsa Dāsa 1937 editorial tradition and later editions. The title-equivalence remains qualified until an early explicit catalog/colophon is found.</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t>AUTHORSHIP RULING  Rūpa Gosvāmī’s Dāna-keli-kaumudī is a different work and must never be confused with Raghunātha’s dāna text. RDG-R03 identifies the surviving Raghunātha work Dāna-keli-cintāmaṇi as the very probable referent of the older title Dāna-carita, while retaining a small bibliographic qualification.</w:t>
            </w:r>
          </w:p>
        </w:tc>
      </w:tr>
    </w:tbl>
    <w:p>
      <w:pPr>
        <w:pStyle w:val="Heading1"/>
        <w:keepNext w:val="1"/>
        <w:keepLines w:val="1"/>
      </w:pPr>
      <w:r>
        <w:t>25. Inner identity: Gaura-gaṇoddeśa-dīpikā 186</w:t>
      </w:r>
    </w:p>
    <w:p>
      <w:r>
        <w:t>Gaura-gaṇoddeśa-dīpikā 186 has now been checked in Sanskrit. It gives Rasa Mañjarī as the first former identity of Raghunātha dāsa and explicitly records alternative Rati Mañjarī and Bhānumatī traditions. Later Gauḍīya lineages often privilege Rati Mañjarī, but the biography must preserve Karṇapūra’s textual plurality.</w:t>
      </w:r>
    </w:p>
    <w:p>
      <w:pPr>
        <w:keepNext w:val="1"/>
      </w:pPr>
      <w:r>
        <w:t>Kavi Karṇapūra, Gaura-gaṇoddeśa-dīpikā 186 — Sanskrit witness checked in RDG-R03</w:t>
      </w:r>
    </w:p>
    <w:p>
      <w:pPr>
        <w:ind w:left="360" w:right="259"/>
      </w:pPr>
      <w:r>
        <w:rPr>
          <w:i/>
        </w:rPr>
        <w:t>dāsa-śrī-raghunāthasya pūrvākhyā rasa-mañjarī |</w:t>
        <w:br/>
        <w:t>amuṁ kecit prabhāṣante śrīmatīṁ rati-mañjarīm |</w:t>
        <w:br/>
        <w:t>bhānumaty-ākhyayā kecid āhus taṁ nāma-bhedataḥ ||186||</w:t>
      </w:r>
    </w:p>
    <w:p>
      <w:pPr>
        <w:ind w:left="360"/>
      </w:pPr>
      <w:r>
        <w:t>The former name/identity of Śrī Raghunātha dāsa was Rasa Mañjarī. Some describe him as Śrīmatī Rati Mañjarī; others say that, by a difference of name, he is called Bhānumatī.</w:t>
      </w:r>
    </w:p>
    <w:p>
      <w:pPr/>
      <w:r>
        <w:rPr>
          <w:b/>
        </w:rPr>
        <w:t xml:space="preserve">Research use — </w:t>
      </w:r>
      <w:r>
        <w:t>Preserve the plurality exactly as Karṇapūra gives it. Rasa Mañjarī is the first identification; Rati Mañjarī and Bhānumatī are explicit early alternatives. RDG-R03 controls the remaining variant and commentarial questions.</w:t>
      </w:r>
    </w:p>
    <w:p>
      <w:pPr>
        <w:pStyle w:val="Heading1"/>
        <w:keepNext w:val="1"/>
        <w:keepLines w:val="1"/>
      </w:pPr>
      <w:r>
        <w:t>26. Birth and disappearance dates: what we may and may not say</w:t>
      </w:r>
    </w:p>
    <w:p>
      <w:pPr>
        <w:pStyle w:val="Heading2"/>
        <w:keepNext w:val="1"/>
        <w:keepLines w:val="1"/>
      </w:pPr>
      <w:r>
        <w:t>26.1 Birth year</w:t>
      </w:r>
    </w:p>
    <w:p>
      <w:r>
        <w:t>The common 1494/1495 date comes through Bhaktisiddhānta Sarasvatī’s Anubhāṣya and its later editions. The wording is explicitly probabilistic: 'most probably' born in 1416 Śaka. Different modern editions convert that Śaka year as 1494 or 1495. The biography should therefore prefer 'c.1494–1495, according to Bhaktisiddhānta’s reconstruction' unless an earlier dated witness is found.</w:t>
      </w:r>
    </w:p>
    <w:p>
      <w:pPr>
        <w:pStyle w:val="Heading2"/>
        <w:keepNext w:val="1"/>
        <w:keepLines w:val="1"/>
      </w:pPr>
      <w:r>
        <w:t>26.2 Appearance tithi</w:t>
      </w:r>
    </w:p>
    <w:p>
      <w:r>
        <w:t>Modern Gauḍīya and ISKCON calendars consistently observe Raghunātha’s appearance on Mādhava/Māgha gaura (śukla) pañcamī, the same tithi commonly celebrated as Vasanta-pañcamī. This is strong living calendrical tradition and will control practical pilgrimage planning, but an older textual source for the tithi has not yet been recovered in the project.</w:t>
      </w:r>
    </w:p>
    <w:p>
      <w:pPr>
        <w:pStyle w:val="Heading2"/>
        <w:keepNext w:val="1"/>
        <w:keepLines w:val="1"/>
      </w:pPr>
      <w:r>
        <w:t>26.3 Disappearance year — unresolved</w:t>
      </w:r>
    </w:p>
    <w:p>
      <w:r>
        <w:t>Later chronologies commonly give 1508 Śaka / 1586 CE, often Āśvina śukla Dvādaśī. A 1584 deathbed settlement now provides a stronger D-level late-life anchor. Use RDG-R02 for the current chronology ruling.</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t>PUBLICATION RULE  Until the final chronology is closed, write: “Later tradition commonly gives Raghunātha’s disappearance as 1586 on Āśvina śukla Dvādaśī. A documentary study, however, identifies a Raghunātha deathbed settlement dated 1584; 1584 is therefore the strongest historical late-life candidate presently recovered. The exact historical disappearance date remains under review.”</w:t>
            </w:r>
          </w:p>
        </w:tc>
      </w:tr>
    </w:tbl>
    <w:p>
      <w:pPr>
        <w:pStyle w:val="Heading1"/>
        <w:keepNext w:val="1"/>
        <w:keepLines w:val="1"/>
      </w:pPr>
      <w:r>
        <w:t>27. Appearance-day study for Rādhā-kuṇḍa</w:t>
      </w:r>
    </w:p>
    <w:p>
      <w:pPr/>
      <w:r>
        <w:t>RDGB-A01 now completes this task as a dedicated pilgrim-facing observance guide. It treats Māgha śukla pañcamī / Vasanta-pañcamī as strong living Gauḍīya calendar tradition while keeping the absence of an early sixteenth-century tithi witness explicit.</w:t>
      </w:r>
    </w:p>
    <w:p>
      <w:pPr/>
      <w:r>
        <w:t>• RDGB-A01 provides the practical reading sequence, prayers at the bhajana-kuṭīra and samādhi, Rādhā-kuṇḍāṣṭaka and Vilāpa-kusumāñjali selections, and an explicit warning against imitating Raghunātha’s extreme austerities.</w:t>
      </w:r>
    </w:p>
    <w:p>
      <w:pPr/>
      <w:r>
        <w:t>• The working 2027 observance date remains 11 February 2027, subject to a final local Vraja pañjikā check shortly before pilgrimage.</w:t>
      </w:r>
    </w:p>
    <w:p>
      <w:pPr/>
      <w:r>
        <w:t>• Detailed snāna and Rādhā-kuṇḍa etiquette remain in RKPG-01/RKPG-02 rather than being duplicated inside the Raghunātha biography.</w:t>
      </w:r>
    </w:p>
    <w:p>
      <w:pPr>
        <w:pStyle w:val="Heading1"/>
        <w:keepNext w:val="1"/>
        <w:keepLines w:val="1"/>
      </w:pPr>
      <w:r>
        <w:t>28. Verification completed for v1.0 — archival desiderata remain</w:t>
      </w:r>
    </w:p>
    <w:p>
      <w:pPr/>
      <w:r>
        <w:t>The biography is substantively complete. The following items are bounded source-verification tasks for finalization, not invitations to reopen the life narrative:</w:t>
      </w:r>
    </w:p>
    <w:p>
      <w:pPr/>
      <w:r>
        <w:t>• COMPLETED for v1.0: controlling Caitanya-caritāmṛta Bengali/IAST passages were rechecked against current VedaBase witnesses; no narrative correction was required.</w:t>
      </w:r>
    </w:p>
    <w:p>
      <w:pPr/>
      <w:r>
        <w:t>• COMPLETED for v1.0: principal quoted Stavāvalī passages were rechecked against current Sanskrit witnesses. Where witnesses/catalogues vary (for example kalpa-taru/kalpavṛkṣa and selected orthographic readings), the variation is preserved rather than silently harmonized.</w:t>
      </w:r>
    </w:p>
    <w:p>
      <w:pPr/>
      <w:r>
        <w:t>• COMPLETED in part sufficient for v1.0: Taraṅga 5 passages controlling restoration, sacred trees, kuṭīra and the Śrīnivāsa–Narottama encounter were checked against the searchable Bengali/Romanized witness. The Taraṅga 11 Jāhnavā episode remains a B-level paraphrase pending printed-Bengali collation; this is non-blocking.</w:t>
      </w:r>
    </w:p>
    <w:p>
      <w:pPr/>
      <w:r>
        <w:t>• COMPLETED for v1.0: published Sanskrit witnesses for Gaura-gaṇoddeśa-dīpikā 181 and 186 were checked; the Rasa/Rati/Bhānumatī nāma-bheda plurality remains the controlling presentation.</w:t>
      </w:r>
    </w:p>
    <w:p>
      <w:pPr/>
      <w:r>
        <w:t>• COMPLETED for v1.0 at the publication level: the 1584 settlement and 1588 hiba were rechecked against the published documentary scholarship. Their precise legal/copy relationship remains unresolved, so the disappearance year remains open.</w:t>
      </w:r>
    </w:p>
    <w:p>
      <w:pPr/>
      <w:r>
        <w:t>• Near the pilgrimage, field-check the current appearance-day program and local pañjikā date. Add any such information as a dated field note, not as a rewrite of the core biography.</w:t>
      </w:r>
    </w:p>
    <w:p>
      <w:pPr/>
      <w:r>
        <w:t>No additional biography chapter, broad relationship chart, samādhi architectural history, or new Rādhā-kuṇḍa historical branch is required for Raghunātha v1.0.</w:t>
      </w:r>
    </w:p>
    <w:p>
      <w:pPr>
        <w:pStyle w:val="Heading1"/>
        <w:keepNext w:val="1"/>
        <w:keepLines w:val="1"/>
      </w:pPr>
      <w:r>
        <w:t>29. Claim-status matrix</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7B2638"/>
            <w:tcMar>
              <w:top w:w="55" w:type="dxa"/>
              <w:start w:w="65" w:type="dxa"/>
              <w:bottom w:w="55" w:type="dxa"/>
              <w:end w:w="65" w:type="dxa"/>
            </w:tcMar>
          </w:tcPr>
          <w:p>
            <w:r>
              <w:rPr>
                <w:b/>
                <w:color w:val="FFFFFF"/>
              </w:rPr>
              <w:t>Topic / event</w:t>
            </w:r>
          </w:p>
        </w:tc>
        <w:tc>
          <w:tcPr>
            <w:tcW w:type="dxa" w:w="2541"/>
            <w:shd w:fill="7B2638"/>
            <w:tcMar>
              <w:top w:w="55" w:type="dxa"/>
              <w:start w:w="65" w:type="dxa"/>
              <w:bottom w:w="55" w:type="dxa"/>
              <w:end w:w="65" w:type="dxa"/>
            </w:tcMar>
          </w:tcPr>
          <w:p>
            <w:r>
              <w:rPr>
                <w:b/>
                <w:color w:val="FFFFFF"/>
              </w:rPr>
              <w:t>Evidence</w:t>
            </w:r>
          </w:p>
        </w:tc>
        <w:tc>
          <w:tcPr>
            <w:tcW w:type="dxa" w:w="2541"/>
            <w:shd w:fill="7B2638"/>
            <w:tcMar>
              <w:top w:w="55" w:type="dxa"/>
              <w:start w:w="65" w:type="dxa"/>
              <w:bottom w:w="55" w:type="dxa"/>
              <w:end w:w="65" w:type="dxa"/>
            </w:tcMar>
          </w:tcPr>
          <w:p>
            <w:r>
              <w:rPr>
                <w:b/>
                <w:color w:val="FFFFFF"/>
              </w:rPr>
              <w:t>Current ruling</w:t>
            </w:r>
          </w:p>
        </w:tc>
        <w:tc>
          <w:tcPr>
            <w:tcW w:type="dxa" w:w="2541"/>
            <w:shd w:fill="7B2638"/>
            <w:tcMar>
              <w:top w:w="55" w:type="dxa"/>
              <w:start w:w="65" w:type="dxa"/>
              <w:bottom w:w="55" w:type="dxa"/>
              <w:end w:w="65" w:type="dxa"/>
            </w:tcMar>
          </w:tcPr>
          <w:p>
            <w:r>
              <w:rPr>
                <w:b/>
                <w:color w:val="FFFFFF"/>
              </w:rPr>
              <w:t>Status</w:t>
            </w:r>
          </w:p>
        </w:tc>
      </w:tr>
      <w:tr>
        <w:trPr>
          <w:cantSplit w:val="1"/>
        </w:trPr>
        <w:tc>
          <w:tcPr>
            <w:tcW w:type="dxa" w:w="2541"/>
            <w:tcMar>
              <w:top w:w="50" w:type="dxa"/>
              <w:start w:w="60" w:type="dxa"/>
              <w:bottom w:w="50" w:type="dxa"/>
              <w:end w:w="60" w:type="dxa"/>
            </w:tcMar>
            <w:vAlign w:val="top"/>
          </w:tcPr>
          <w:p>
            <w:r>
              <w:t>Raghunātha was born exactly in 1494.</w:t>
            </w:r>
          </w:p>
        </w:tc>
        <w:tc>
          <w:tcPr>
            <w:tcW w:type="dxa" w:w="2541"/>
            <w:tcMar>
              <w:top w:w="50" w:type="dxa"/>
              <w:start w:w="60" w:type="dxa"/>
              <w:bottom w:w="50" w:type="dxa"/>
              <w:end w:w="60" w:type="dxa"/>
            </w:tcMar>
            <w:vAlign w:val="top"/>
          </w:tcPr>
          <w:p>
            <w:r>
              <w:t>TOO STRONG</w:t>
            </w:r>
          </w:p>
        </w:tc>
        <w:tc>
          <w:tcPr>
            <w:tcW w:type="dxa" w:w="2541"/>
            <w:tcMar>
              <w:top w:w="50" w:type="dxa"/>
              <w:start w:w="60" w:type="dxa"/>
              <w:bottom w:w="50" w:type="dxa"/>
              <w:end w:w="60" w:type="dxa"/>
            </w:tcMar>
            <w:vAlign w:val="top"/>
          </w:tcPr>
          <w:p>
            <w:r>
              <w:t>Anubhāṣya says 'most probably' 1416 Śaka; modern conversion varies 1494/1495.</w:t>
            </w:r>
          </w:p>
        </w:tc>
        <w:tc>
          <w:tcPr>
            <w:tcW w:type="dxa" w:w="2541"/>
            <w:tcMar>
              <w:top w:w="50" w:type="dxa"/>
              <w:start w:w="60" w:type="dxa"/>
              <w:bottom w:w="50" w:type="dxa"/>
              <w:end w:w="60" w:type="dxa"/>
            </w:tcMar>
            <w:vAlign w:val="top"/>
          </w:tcPr>
          <w:p>
            <w:r>
              <w:t>Use c.1494–1495 with attribution.</w:t>
            </w:r>
          </w:p>
        </w:tc>
      </w:tr>
      <w:tr>
        <w:trPr>
          <w:cantSplit w:val="1"/>
        </w:trPr>
        <w:tc>
          <w:tcPr>
            <w:tcW w:type="dxa" w:w="2541"/>
            <w:tcMar>
              <w:top w:w="50" w:type="dxa"/>
              <w:start w:w="60" w:type="dxa"/>
              <w:bottom w:w="50" w:type="dxa"/>
              <w:end w:w="60" w:type="dxa"/>
            </w:tcMar>
            <w:vAlign w:val="top"/>
          </w:tcPr>
          <w:p>
            <w:r>
              <w:t>His appearance tithi is Māgha śukla pañcamī.</w:t>
            </w:r>
          </w:p>
        </w:tc>
        <w:tc>
          <w:tcPr>
            <w:tcW w:type="dxa" w:w="2541"/>
            <w:tcMar>
              <w:top w:w="50" w:type="dxa"/>
              <w:start w:w="60" w:type="dxa"/>
              <w:bottom w:w="50" w:type="dxa"/>
              <w:end w:w="60" w:type="dxa"/>
            </w:tcMar>
            <w:vAlign w:val="top"/>
          </w:tcPr>
          <w:p>
            <w:r>
              <w:t>STRONG LIVING TRADITION</w:t>
            </w:r>
          </w:p>
        </w:tc>
        <w:tc>
          <w:tcPr>
            <w:tcW w:type="dxa" w:w="2541"/>
            <w:tcMar>
              <w:top w:w="50" w:type="dxa"/>
              <w:start w:w="60" w:type="dxa"/>
              <w:bottom w:w="50" w:type="dxa"/>
              <w:end w:w="60" w:type="dxa"/>
            </w:tcMar>
            <w:vAlign w:val="top"/>
          </w:tcPr>
          <w:p>
            <w:r>
              <w:t>Consistent modern Gauḍīya calendar practice; early source still missing.</w:t>
            </w:r>
          </w:p>
        </w:tc>
        <w:tc>
          <w:tcPr>
            <w:tcW w:type="dxa" w:w="2541"/>
            <w:tcMar>
              <w:top w:w="50" w:type="dxa"/>
              <w:start w:w="60" w:type="dxa"/>
              <w:bottom w:w="50" w:type="dxa"/>
              <w:end w:w="60" w:type="dxa"/>
            </w:tcMar>
            <w:vAlign w:val="top"/>
          </w:tcPr>
          <w:p>
            <w:r>
              <w:t>Use for practice with C-level label.</w:t>
            </w:r>
          </w:p>
        </w:tc>
      </w:tr>
      <w:tr>
        <w:trPr>
          <w:cantSplit w:val="1"/>
        </w:trPr>
        <w:tc>
          <w:tcPr>
            <w:tcW w:type="dxa" w:w="2541"/>
            <w:tcMar>
              <w:top w:w="50" w:type="dxa"/>
              <w:start w:w="60" w:type="dxa"/>
              <w:bottom w:w="50" w:type="dxa"/>
              <w:end w:w="60" w:type="dxa"/>
            </w:tcMar>
            <w:vAlign w:val="top"/>
          </w:tcPr>
          <w:p>
            <w:r>
              <w:t>Haridāsa’s mercy shaped his youth.</w:t>
            </w:r>
          </w:p>
        </w:tc>
        <w:tc>
          <w:tcPr>
            <w:tcW w:type="dxa" w:w="2541"/>
            <w:tcMar>
              <w:top w:w="50" w:type="dxa"/>
              <w:start w:w="60" w:type="dxa"/>
              <w:bottom w:w="50" w:type="dxa"/>
              <w:end w:w="60" w:type="dxa"/>
            </w:tcMar>
            <w:vAlign w:val="top"/>
          </w:tcPr>
          <w:p>
            <w:r>
              <w:t>VERIFIED</w:t>
            </w:r>
          </w:p>
        </w:tc>
        <w:tc>
          <w:tcPr>
            <w:tcW w:type="dxa" w:w="2541"/>
            <w:tcMar>
              <w:top w:w="50" w:type="dxa"/>
              <w:start w:w="60" w:type="dxa"/>
              <w:bottom w:w="50" w:type="dxa"/>
              <w:end w:w="60" w:type="dxa"/>
            </w:tcMar>
            <w:vAlign w:val="top"/>
          </w:tcPr>
          <w:p>
            <w:r>
              <w:t>CC Antya 3.169–170 explicitly links Haridāsa’s mercy to attaining Caitanya.</w:t>
            </w:r>
          </w:p>
        </w:tc>
        <w:tc>
          <w:tcPr>
            <w:tcW w:type="dxa" w:w="2541"/>
            <w:tcMar>
              <w:top w:w="50" w:type="dxa"/>
              <w:start w:w="60" w:type="dxa"/>
              <w:bottom w:w="50" w:type="dxa"/>
              <w:end w:w="60" w:type="dxa"/>
            </w:tcMar>
            <w:vAlign w:val="top"/>
          </w:tcPr>
          <w:p>
            <w:r>
              <w:t>A2.</w:t>
            </w:r>
          </w:p>
        </w:tc>
      </w:tr>
      <w:tr>
        <w:trPr>
          <w:cantSplit w:val="1"/>
        </w:trPr>
        <w:tc>
          <w:tcPr>
            <w:tcW w:type="dxa" w:w="2541"/>
            <w:tcMar>
              <w:top w:w="50" w:type="dxa"/>
              <w:start w:w="60" w:type="dxa"/>
              <w:bottom w:w="50" w:type="dxa"/>
              <w:end w:w="60" w:type="dxa"/>
            </w:tcMar>
            <w:vAlign w:val="top"/>
          </w:tcPr>
          <w:p>
            <w:r>
              <w:t>Mahāprabhu initially encouraged immediate renunciation.</w:t>
            </w:r>
          </w:p>
        </w:tc>
        <w:tc>
          <w:tcPr>
            <w:tcW w:type="dxa" w:w="2541"/>
            <w:tcMar>
              <w:top w:w="50" w:type="dxa"/>
              <w:start w:w="60" w:type="dxa"/>
              <w:bottom w:w="50" w:type="dxa"/>
              <w:end w:w="60" w:type="dxa"/>
            </w:tcMar>
            <w:vAlign w:val="top"/>
          </w:tcPr>
          <w:p>
            <w:r>
              <w:t>FALSE</w:t>
            </w:r>
          </w:p>
        </w:tc>
        <w:tc>
          <w:tcPr>
            <w:tcW w:type="dxa" w:w="2541"/>
            <w:tcMar>
              <w:top w:w="50" w:type="dxa"/>
              <w:start w:w="60" w:type="dxa"/>
              <w:bottom w:w="50" w:type="dxa"/>
              <w:end w:w="60" w:type="dxa"/>
            </w:tcMar>
            <w:vAlign w:val="top"/>
          </w:tcPr>
          <w:p>
            <w:r>
              <w:t>Madhya 16.238–239 says the opposite.</w:t>
            </w:r>
          </w:p>
        </w:tc>
        <w:tc>
          <w:tcPr>
            <w:tcW w:type="dxa" w:w="2541"/>
            <w:tcMar>
              <w:top w:w="50" w:type="dxa"/>
              <w:start w:w="60" w:type="dxa"/>
              <w:bottom w:w="50" w:type="dxa"/>
              <w:end w:w="60" w:type="dxa"/>
            </w:tcMar>
            <w:vAlign w:val="top"/>
          </w:tcPr>
          <w:p>
            <w:r>
              <w:t>Correct prominently.</w:t>
            </w:r>
          </w:p>
        </w:tc>
      </w:tr>
      <w:tr>
        <w:trPr>
          <w:cantSplit w:val="1"/>
        </w:trPr>
        <w:tc>
          <w:tcPr>
            <w:tcW w:type="dxa" w:w="2541"/>
            <w:tcMar>
              <w:top w:w="50" w:type="dxa"/>
              <w:start w:w="60" w:type="dxa"/>
              <w:bottom w:w="50" w:type="dxa"/>
              <w:end w:w="60" w:type="dxa"/>
            </w:tcMar>
            <w:vAlign w:val="top"/>
          </w:tcPr>
          <w:p>
            <w:r>
              <w:t>Raghunātha was socially incompetent because he was detached.</w:t>
            </w:r>
          </w:p>
        </w:tc>
        <w:tc>
          <w:tcPr>
            <w:tcW w:type="dxa" w:w="2541"/>
            <w:tcMar>
              <w:top w:w="50" w:type="dxa"/>
              <w:start w:w="60" w:type="dxa"/>
              <w:bottom w:w="50" w:type="dxa"/>
              <w:end w:w="60" w:type="dxa"/>
            </w:tcMar>
            <w:vAlign w:val="top"/>
          </w:tcPr>
          <w:p>
            <w:r>
              <w:t>FALSE / MISLEADING</w:t>
            </w:r>
          </w:p>
        </w:tc>
        <w:tc>
          <w:tcPr>
            <w:tcW w:type="dxa" w:w="2541"/>
            <w:tcMar>
              <w:top w:w="50" w:type="dxa"/>
              <w:start w:w="60" w:type="dxa"/>
              <w:bottom w:w="50" w:type="dxa"/>
              <w:end w:w="60" w:type="dxa"/>
            </w:tcMar>
            <w:vAlign w:val="top"/>
          </w:tcPr>
          <w:p>
            <w:r>
              <w:t>Antya 6 revenue episode shows tactical intelligence and negotiation.</w:t>
            </w:r>
          </w:p>
        </w:tc>
        <w:tc>
          <w:tcPr>
            <w:tcW w:type="dxa" w:w="2541"/>
            <w:tcMar>
              <w:top w:w="50" w:type="dxa"/>
              <w:start w:w="60" w:type="dxa"/>
              <w:bottom w:w="50" w:type="dxa"/>
              <w:end w:w="60" w:type="dxa"/>
            </w:tcMar>
            <w:vAlign w:val="top"/>
          </w:tcPr>
          <w:p>
            <w:r>
              <w:t>Include complexity.</w:t>
            </w:r>
          </w:p>
        </w:tc>
      </w:tr>
      <w:tr>
        <w:trPr>
          <w:cantSplit w:val="1"/>
        </w:trPr>
        <w:tc>
          <w:tcPr>
            <w:tcW w:type="dxa" w:w="2541"/>
            <w:tcMar>
              <w:top w:w="50" w:type="dxa"/>
              <w:start w:w="60" w:type="dxa"/>
              <w:bottom w:w="50" w:type="dxa"/>
              <w:end w:w="60" w:type="dxa"/>
            </w:tcMar>
            <w:vAlign w:val="top"/>
          </w:tcPr>
          <w:p>
            <w:r>
              <w:t>Pānihāṭi was the decisive Nityānanda blessing before escape.</w:t>
            </w:r>
          </w:p>
        </w:tc>
        <w:tc>
          <w:tcPr>
            <w:tcW w:type="dxa" w:w="2541"/>
            <w:tcMar>
              <w:top w:w="50" w:type="dxa"/>
              <w:start w:w="60" w:type="dxa"/>
              <w:bottom w:w="50" w:type="dxa"/>
              <w:end w:w="60" w:type="dxa"/>
            </w:tcMar>
            <w:vAlign w:val="top"/>
          </w:tcPr>
          <w:p>
            <w:r>
              <w:t>VERIFIED</w:t>
            </w:r>
          </w:p>
        </w:tc>
        <w:tc>
          <w:tcPr>
            <w:tcW w:type="dxa" w:w="2541"/>
            <w:tcMar>
              <w:top w:w="50" w:type="dxa"/>
              <w:start w:w="60" w:type="dxa"/>
              <w:bottom w:w="50" w:type="dxa"/>
              <w:end w:w="60" w:type="dxa"/>
            </w:tcMar>
            <w:vAlign w:val="top"/>
          </w:tcPr>
          <w:p>
            <w:r>
              <w:t>CC Antya 6.42–154.</w:t>
            </w:r>
          </w:p>
        </w:tc>
        <w:tc>
          <w:tcPr>
            <w:tcW w:type="dxa" w:w="2541"/>
            <w:tcMar>
              <w:top w:w="50" w:type="dxa"/>
              <w:start w:w="60" w:type="dxa"/>
              <w:bottom w:w="50" w:type="dxa"/>
              <w:end w:w="60" w:type="dxa"/>
            </w:tcMar>
            <w:vAlign w:val="top"/>
          </w:tcPr>
          <w:p>
            <w:r>
              <w:t>A2.</w:t>
            </w:r>
          </w:p>
        </w:tc>
      </w:tr>
      <w:tr>
        <w:trPr>
          <w:cantSplit w:val="1"/>
        </w:trPr>
        <w:tc>
          <w:tcPr>
            <w:tcW w:type="dxa" w:w="2541"/>
            <w:tcMar>
              <w:top w:w="50" w:type="dxa"/>
              <w:start w:w="60" w:type="dxa"/>
              <w:bottom w:w="50" w:type="dxa"/>
              <w:end w:w="60" w:type="dxa"/>
            </w:tcMar>
            <w:vAlign w:val="top"/>
          </w:tcPr>
          <w:p>
            <w:r>
              <w:t>He reached Purī in twelve days and ate on three days.</w:t>
            </w:r>
          </w:p>
        </w:tc>
        <w:tc>
          <w:tcPr>
            <w:tcW w:type="dxa" w:w="2541"/>
            <w:tcMar>
              <w:top w:w="50" w:type="dxa"/>
              <w:start w:w="60" w:type="dxa"/>
              <w:bottom w:w="50" w:type="dxa"/>
              <w:end w:w="60" w:type="dxa"/>
            </w:tcMar>
            <w:vAlign w:val="top"/>
          </w:tcPr>
          <w:p>
            <w:r>
              <w:t>VERIFIED</w:t>
            </w:r>
          </w:p>
        </w:tc>
        <w:tc>
          <w:tcPr>
            <w:tcW w:type="dxa" w:w="2541"/>
            <w:tcMar>
              <w:top w:w="50" w:type="dxa"/>
              <w:start w:w="60" w:type="dxa"/>
              <w:bottom w:w="50" w:type="dxa"/>
              <w:end w:w="60" w:type="dxa"/>
            </w:tcMar>
            <w:vAlign w:val="top"/>
          </w:tcPr>
          <w:p>
            <w:r>
              <w:t>CC Antya 6.188.</w:t>
            </w:r>
          </w:p>
        </w:tc>
        <w:tc>
          <w:tcPr>
            <w:tcW w:type="dxa" w:w="2541"/>
            <w:tcMar>
              <w:top w:w="50" w:type="dxa"/>
              <w:start w:w="60" w:type="dxa"/>
              <w:bottom w:w="50" w:type="dxa"/>
              <w:end w:w="60" w:type="dxa"/>
            </w:tcMar>
            <w:vAlign w:val="top"/>
          </w:tcPr>
          <w:p>
            <w:r>
              <w:t>A2.</w:t>
            </w:r>
          </w:p>
        </w:tc>
      </w:tr>
      <w:tr>
        <w:trPr>
          <w:cantSplit w:val="1"/>
        </w:trPr>
        <w:tc>
          <w:tcPr>
            <w:tcW w:type="dxa" w:w="2541"/>
            <w:tcMar>
              <w:top w:w="50" w:type="dxa"/>
              <w:start w:w="60" w:type="dxa"/>
              <w:bottom w:w="50" w:type="dxa"/>
              <w:end w:w="60" w:type="dxa"/>
            </w:tcMar>
            <w:vAlign w:val="top"/>
          </w:tcPr>
          <w:p>
            <w:r>
              <w:t>He was called Svarūpera Raghu.</w:t>
            </w:r>
          </w:p>
        </w:tc>
        <w:tc>
          <w:tcPr>
            <w:tcW w:type="dxa" w:w="2541"/>
            <w:tcMar>
              <w:top w:w="50" w:type="dxa"/>
              <w:start w:w="60" w:type="dxa"/>
              <w:bottom w:w="50" w:type="dxa"/>
              <w:end w:w="60" w:type="dxa"/>
            </w:tcMar>
            <w:vAlign w:val="top"/>
          </w:tcPr>
          <w:p>
            <w:r>
              <w:t>VERIFIED</w:t>
            </w:r>
          </w:p>
        </w:tc>
        <w:tc>
          <w:tcPr>
            <w:tcW w:type="dxa" w:w="2541"/>
            <w:tcMar>
              <w:top w:w="50" w:type="dxa"/>
              <w:start w:w="60" w:type="dxa"/>
              <w:bottom w:w="50" w:type="dxa"/>
              <w:end w:w="60" w:type="dxa"/>
            </w:tcMar>
            <w:vAlign w:val="top"/>
          </w:tcPr>
          <w:p>
            <w:r>
              <w:t>CC Antya 6.202–203.</w:t>
            </w:r>
          </w:p>
        </w:tc>
        <w:tc>
          <w:tcPr>
            <w:tcW w:type="dxa" w:w="2541"/>
            <w:tcMar>
              <w:top w:w="50" w:type="dxa"/>
              <w:start w:w="60" w:type="dxa"/>
              <w:bottom w:w="50" w:type="dxa"/>
              <w:end w:w="60" w:type="dxa"/>
            </w:tcMar>
            <w:vAlign w:val="top"/>
          </w:tcPr>
          <w:p>
            <w:r>
              <w:t>A2.</w:t>
            </w:r>
          </w:p>
        </w:tc>
      </w:tr>
      <w:tr>
        <w:trPr>
          <w:cantSplit w:val="1"/>
        </w:trPr>
        <w:tc>
          <w:tcPr>
            <w:tcW w:type="dxa" w:w="2541"/>
            <w:tcMar>
              <w:top w:w="50" w:type="dxa"/>
              <w:start w:w="60" w:type="dxa"/>
              <w:bottom w:w="50" w:type="dxa"/>
              <w:end w:w="60" w:type="dxa"/>
            </w:tcMar>
            <w:vAlign w:val="top"/>
          </w:tcPr>
          <w:p>
            <w:r>
              <w:t>Mahāprabhu told him to mentally serve Rādhā-Kṛṣṇa in Vraja.</w:t>
            </w:r>
          </w:p>
        </w:tc>
        <w:tc>
          <w:tcPr>
            <w:tcW w:type="dxa" w:w="2541"/>
            <w:tcMar>
              <w:top w:w="50" w:type="dxa"/>
              <w:start w:w="60" w:type="dxa"/>
              <w:bottom w:w="50" w:type="dxa"/>
              <w:end w:w="60" w:type="dxa"/>
            </w:tcMar>
            <w:vAlign w:val="top"/>
          </w:tcPr>
          <w:p>
            <w:r>
              <w:t>VERIFIED</w:t>
            </w:r>
          </w:p>
        </w:tc>
        <w:tc>
          <w:tcPr>
            <w:tcW w:type="dxa" w:w="2541"/>
            <w:tcMar>
              <w:top w:w="50" w:type="dxa"/>
              <w:start w:w="60" w:type="dxa"/>
              <w:bottom w:w="50" w:type="dxa"/>
              <w:end w:w="60" w:type="dxa"/>
            </w:tcMar>
            <w:vAlign w:val="top"/>
          </w:tcPr>
          <w:p>
            <w:r>
              <w:t>CC Antya 6.237.</w:t>
            </w:r>
          </w:p>
        </w:tc>
        <w:tc>
          <w:tcPr>
            <w:tcW w:type="dxa" w:w="2541"/>
            <w:tcMar>
              <w:top w:w="50" w:type="dxa"/>
              <w:start w:w="60" w:type="dxa"/>
              <w:bottom w:w="50" w:type="dxa"/>
              <w:end w:w="60" w:type="dxa"/>
            </w:tcMar>
            <w:vAlign w:val="top"/>
          </w:tcPr>
          <w:p>
            <w:r>
              <w:t>A2.</w:t>
            </w:r>
          </w:p>
        </w:tc>
      </w:tr>
      <w:tr>
        <w:trPr>
          <w:cantSplit w:val="1"/>
        </w:trPr>
        <w:tc>
          <w:tcPr>
            <w:tcW w:type="dxa" w:w="2541"/>
            <w:tcMar>
              <w:top w:w="50" w:type="dxa"/>
              <w:start w:w="60" w:type="dxa"/>
              <w:bottom w:w="50" w:type="dxa"/>
              <w:end w:w="60" w:type="dxa"/>
            </w:tcMar>
            <w:vAlign w:val="top"/>
          </w:tcPr>
          <w:p>
            <w:r>
              <w:t>Mahāprabhu gave him Govardhana-śilā and guñjā-mālā.</w:t>
            </w:r>
          </w:p>
        </w:tc>
        <w:tc>
          <w:tcPr>
            <w:tcW w:type="dxa" w:w="2541"/>
            <w:tcMar>
              <w:top w:w="50" w:type="dxa"/>
              <w:start w:w="60" w:type="dxa"/>
              <w:bottom w:w="50" w:type="dxa"/>
              <w:end w:w="60" w:type="dxa"/>
            </w:tcMar>
            <w:vAlign w:val="top"/>
          </w:tcPr>
          <w:p>
            <w:r>
              <w:t>VERIFIED</w:t>
            </w:r>
          </w:p>
        </w:tc>
        <w:tc>
          <w:tcPr>
            <w:tcW w:type="dxa" w:w="2541"/>
            <w:tcMar>
              <w:top w:w="50" w:type="dxa"/>
              <w:start w:w="60" w:type="dxa"/>
              <w:bottom w:w="50" w:type="dxa"/>
              <w:end w:w="60" w:type="dxa"/>
            </w:tcMar>
            <w:vAlign w:val="top"/>
          </w:tcPr>
          <w:p>
            <w:r>
              <w:t>CC Antya 6.287–307; self-witness Gaurāṅga-stava 11.</w:t>
            </w:r>
          </w:p>
        </w:tc>
        <w:tc>
          <w:tcPr>
            <w:tcW w:type="dxa" w:w="2541"/>
            <w:tcMar>
              <w:top w:w="50" w:type="dxa"/>
              <w:start w:w="60" w:type="dxa"/>
              <w:bottom w:w="50" w:type="dxa"/>
              <w:end w:w="60" w:type="dxa"/>
            </w:tcMar>
            <w:vAlign w:val="top"/>
          </w:tcPr>
          <w:p>
            <w:r>
              <w:t>A1/A2.</w:t>
            </w:r>
          </w:p>
        </w:tc>
      </w:tr>
      <w:tr>
        <w:trPr>
          <w:cantSplit w:val="1"/>
        </w:trPr>
        <w:tc>
          <w:tcPr>
            <w:tcW w:type="dxa" w:w="2541"/>
            <w:tcMar>
              <w:top w:w="50" w:type="dxa"/>
              <w:start w:w="60" w:type="dxa"/>
              <w:bottom w:w="50" w:type="dxa"/>
              <w:end w:w="60" w:type="dxa"/>
            </w:tcMar>
            <w:vAlign w:val="top"/>
          </w:tcPr>
          <w:p>
            <w:r>
              <w:t>Raghunātha was a source behind Caitanya-caritāmṛta.</w:t>
            </w:r>
          </w:p>
        </w:tc>
        <w:tc>
          <w:tcPr>
            <w:tcW w:type="dxa" w:w="2541"/>
            <w:tcMar>
              <w:top w:w="50" w:type="dxa"/>
              <w:start w:w="60" w:type="dxa"/>
              <w:bottom w:w="50" w:type="dxa"/>
              <w:end w:w="60" w:type="dxa"/>
            </w:tcMar>
            <w:vAlign w:val="top"/>
          </w:tcPr>
          <w:p>
            <w:r>
              <w:t>VERIFIED</w:t>
            </w:r>
          </w:p>
        </w:tc>
        <w:tc>
          <w:tcPr>
            <w:tcW w:type="dxa" w:w="2541"/>
            <w:tcMar>
              <w:top w:w="50" w:type="dxa"/>
              <w:start w:w="60" w:type="dxa"/>
              <w:bottom w:w="50" w:type="dxa"/>
              <w:end w:w="60" w:type="dxa"/>
            </w:tcMar>
            <w:vAlign w:val="top"/>
          </w:tcPr>
          <w:p>
            <w:r>
              <w:t>CC Madhya 2.84; Antya 3.269; Antya 14.7–10.</w:t>
            </w:r>
          </w:p>
        </w:tc>
        <w:tc>
          <w:tcPr>
            <w:tcW w:type="dxa" w:w="2541"/>
            <w:tcMar>
              <w:top w:w="50" w:type="dxa"/>
              <w:start w:w="60" w:type="dxa"/>
              <w:bottom w:w="50" w:type="dxa"/>
              <w:end w:w="60" w:type="dxa"/>
            </w:tcMar>
            <w:vAlign w:val="top"/>
          </w:tcPr>
          <w:p>
            <w:r>
              <w:t>A2 explicit author testimony.</w:t>
            </w:r>
          </w:p>
        </w:tc>
      </w:tr>
      <w:tr>
        <w:trPr>
          <w:cantSplit w:val="1"/>
        </w:trPr>
        <w:tc>
          <w:tcPr>
            <w:tcW w:type="dxa" w:w="2541"/>
            <w:tcMar>
              <w:top w:w="50" w:type="dxa"/>
              <w:start w:w="60" w:type="dxa"/>
              <w:bottom w:w="50" w:type="dxa"/>
              <w:end w:w="60" w:type="dxa"/>
            </w:tcMar>
            <w:vAlign w:val="top"/>
          </w:tcPr>
          <w:p>
            <w:r>
              <w:t>He wanted to jump from Govardhana after reaching Vraja.</w:t>
            </w:r>
          </w:p>
        </w:tc>
        <w:tc>
          <w:tcPr>
            <w:tcW w:type="dxa" w:w="2541"/>
            <w:tcMar>
              <w:top w:w="50" w:type="dxa"/>
              <w:start w:w="60" w:type="dxa"/>
              <w:bottom w:w="50" w:type="dxa"/>
              <w:end w:w="60" w:type="dxa"/>
            </w:tcMar>
            <w:vAlign w:val="top"/>
          </w:tcPr>
          <w:p>
            <w:r>
              <w:t>VERIFIED</w:t>
            </w:r>
          </w:p>
        </w:tc>
        <w:tc>
          <w:tcPr>
            <w:tcW w:type="dxa" w:w="2541"/>
            <w:tcMar>
              <w:top w:w="50" w:type="dxa"/>
              <w:start w:w="60" w:type="dxa"/>
              <w:bottom w:w="50" w:type="dxa"/>
              <w:end w:w="60" w:type="dxa"/>
            </w:tcMar>
            <w:vAlign w:val="top"/>
          </w:tcPr>
          <w:p>
            <w:r>
              <w:t>CC Ādi 10.94–96.</w:t>
            </w:r>
          </w:p>
        </w:tc>
        <w:tc>
          <w:tcPr>
            <w:tcW w:type="dxa" w:w="2541"/>
            <w:tcMar>
              <w:top w:w="50" w:type="dxa"/>
              <w:start w:w="60" w:type="dxa"/>
              <w:bottom w:w="50" w:type="dxa"/>
              <w:end w:w="60" w:type="dxa"/>
            </w:tcMar>
            <w:vAlign w:val="top"/>
          </w:tcPr>
          <w:p>
            <w:r>
              <w:t>A2; not merely later legend.</w:t>
            </w:r>
          </w:p>
        </w:tc>
      </w:tr>
      <w:tr>
        <w:trPr>
          <w:cantSplit w:val="1"/>
        </w:trPr>
        <w:tc>
          <w:tcPr>
            <w:tcW w:type="dxa" w:w="2541"/>
            <w:tcMar>
              <w:top w:w="50" w:type="dxa"/>
              <w:start w:w="60" w:type="dxa"/>
              <w:bottom w:w="50" w:type="dxa"/>
              <w:end w:w="60" w:type="dxa"/>
            </w:tcMar>
            <w:vAlign w:val="top"/>
          </w:tcPr>
          <w:p>
            <w:r>
              <w:t>He created Rādhā-kuṇḍa.</w:t>
            </w:r>
          </w:p>
        </w:tc>
        <w:tc>
          <w:tcPr>
            <w:tcW w:type="dxa" w:w="2541"/>
            <w:tcMar>
              <w:top w:w="50" w:type="dxa"/>
              <w:start w:w="60" w:type="dxa"/>
              <w:bottom w:w="50" w:type="dxa"/>
              <w:end w:w="60" w:type="dxa"/>
            </w:tcMar>
            <w:vAlign w:val="top"/>
          </w:tcPr>
          <w:p>
            <w:r>
              <w:t>FALSE wording</w:t>
            </w:r>
          </w:p>
        </w:tc>
        <w:tc>
          <w:tcPr>
            <w:tcW w:type="dxa" w:w="2541"/>
            <w:tcMar>
              <w:top w:w="50" w:type="dxa"/>
              <w:start w:w="60" w:type="dxa"/>
              <w:bottom w:w="50" w:type="dxa"/>
              <w:end w:w="60" w:type="dxa"/>
            </w:tcMar>
            <w:vAlign w:val="top"/>
          </w:tcPr>
          <w:p>
            <w:r>
              <w:t>Sacred manifestation precedes him; BR remembers restoration/excavation.</w:t>
            </w:r>
          </w:p>
        </w:tc>
        <w:tc>
          <w:tcPr>
            <w:tcW w:type="dxa" w:w="2541"/>
            <w:tcMar>
              <w:top w:w="50" w:type="dxa"/>
              <w:start w:w="60" w:type="dxa"/>
              <w:bottom w:w="50" w:type="dxa"/>
              <w:end w:w="60" w:type="dxa"/>
            </w:tcMar>
            <w:vAlign w:val="top"/>
          </w:tcPr>
          <w:p>
            <w:r>
              <w:t>Use restoration language.</w:t>
            </w:r>
          </w:p>
        </w:tc>
      </w:tr>
      <w:tr>
        <w:trPr>
          <w:cantSplit w:val="1"/>
        </w:trPr>
        <w:tc>
          <w:tcPr>
            <w:tcW w:type="dxa" w:w="2541"/>
            <w:tcMar>
              <w:top w:w="50" w:type="dxa"/>
              <w:start w:w="60" w:type="dxa"/>
              <w:bottom w:w="50" w:type="dxa"/>
              <w:end w:w="60" w:type="dxa"/>
            </w:tcMar>
            <w:vAlign w:val="top"/>
          </w:tcPr>
          <w:p>
            <w:r>
              <w:t>He bought the two lakes for Rs238.</w:t>
            </w:r>
          </w:p>
        </w:tc>
        <w:tc>
          <w:tcPr>
            <w:tcW w:type="dxa" w:w="2541"/>
            <w:tcMar>
              <w:top w:w="50" w:type="dxa"/>
              <w:start w:w="60" w:type="dxa"/>
              <w:bottom w:w="50" w:type="dxa"/>
              <w:end w:w="60" w:type="dxa"/>
            </w:tcMar>
            <w:vAlign w:val="top"/>
          </w:tcPr>
          <w:p>
            <w:r>
              <w:t>FALSE / TOO STRONG</w:t>
            </w:r>
          </w:p>
        </w:tc>
        <w:tc>
          <w:tcPr>
            <w:tcW w:type="dxa" w:w="2541"/>
            <w:tcMar>
              <w:top w:w="50" w:type="dxa"/>
              <w:start w:w="60" w:type="dxa"/>
              <w:bottom w:w="50" w:type="dxa"/>
              <w:end w:w="60" w:type="dxa"/>
            </w:tcMar>
            <w:vAlign w:val="top"/>
          </w:tcPr>
          <w:p>
            <w:r>
              <w:t>1588 document concerns six plots and hiba to Jīva.</w:t>
            </w:r>
          </w:p>
        </w:tc>
        <w:tc>
          <w:tcPr>
            <w:tcW w:type="dxa" w:w="2541"/>
            <w:tcMar>
              <w:top w:w="50" w:type="dxa"/>
              <w:start w:w="60" w:type="dxa"/>
              <w:bottom w:w="50" w:type="dxa"/>
              <w:end w:w="60" w:type="dxa"/>
            </w:tcMar>
            <w:vAlign w:val="top"/>
          </w:tcPr>
          <w:p>
            <w:r>
              <w:t>D correction.</w:t>
            </w:r>
          </w:p>
        </w:tc>
      </w:tr>
      <w:tr>
        <w:trPr>
          <w:cantSplit w:val="1"/>
        </w:trPr>
        <w:tc>
          <w:tcPr>
            <w:tcW w:type="dxa" w:w="2541"/>
            <w:tcMar>
              <w:top w:w="50" w:type="dxa"/>
              <w:start w:w="60" w:type="dxa"/>
              <w:bottom w:w="50" w:type="dxa"/>
              <w:end w:w="60" w:type="dxa"/>
            </w:tcMar>
            <w:vAlign w:val="top"/>
          </w:tcPr>
          <w:p>
            <w:r>
              <w:t>He disappeared in 1586.</w:t>
            </w:r>
          </w:p>
        </w:tc>
        <w:tc>
          <w:tcPr>
            <w:tcW w:type="dxa" w:w="2541"/>
            <w:tcMar>
              <w:top w:w="50" w:type="dxa"/>
              <w:start w:w="60" w:type="dxa"/>
              <w:bottom w:w="50" w:type="dxa"/>
              <w:end w:w="60" w:type="dxa"/>
            </w:tcMar>
            <w:vAlign w:val="top"/>
          </w:tcPr>
          <w:p>
            <w:r>
              <w:t>QUALIFIED / exact year unresolved</w:t>
            </w:r>
          </w:p>
        </w:tc>
        <w:tc>
          <w:tcPr>
            <w:tcW w:type="dxa" w:w="2541"/>
            <w:tcMar>
              <w:top w:w="50" w:type="dxa"/>
              <w:start w:w="60" w:type="dxa"/>
              <w:bottom w:w="50" w:type="dxa"/>
              <w:end w:w="60" w:type="dxa"/>
            </w:tcMar>
            <w:vAlign w:val="top"/>
          </w:tcPr>
          <w:p>
            <w:r>
              <w:t>1586 is an important later convention. The 1584 death-bed settlement is the strongest fixed late-life documentary horizon; the 1588 legal record must be interpreted within the wider dossier.</w:t>
            </w:r>
          </w:p>
        </w:tc>
        <w:tc>
          <w:tcPr>
            <w:tcW w:type="dxa" w:w="2541"/>
            <w:tcMar>
              <w:top w:w="50" w:type="dxa"/>
              <w:start w:w="60" w:type="dxa"/>
              <w:bottom w:w="50" w:type="dxa"/>
              <w:end w:w="60" w:type="dxa"/>
            </w:tcMar>
            <w:vAlign w:val="top"/>
          </w:tcPr>
          <w:p>
            <w:r>
              <w:t>Do not print a single exact historical year as settled; use RDG-R02 Final v1.0 / RDGB-A02.</w:t>
            </w:r>
          </w:p>
        </w:tc>
      </w:tr>
      <w:tr>
        <w:trPr>
          <w:cantSplit w:val="1"/>
        </w:trPr>
        <w:tc>
          <w:tcPr>
            <w:tcW w:type="dxa" w:w="2541"/>
            <w:tcMar>
              <w:top w:w="50" w:type="dxa"/>
              <w:start w:w="60" w:type="dxa"/>
              <w:bottom w:w="50" w:type="dxa"/>
              <w:end w:w="60" w:type="dxa"/>
            </w:tcMar>
            <w:vAlign w:val="top"/>
          </w:tcPr>
          <w:p>
            <w:r>
              <w:t>He was Rati Mañjarī, period.</w:t>
            </w:r>
          </w:p>
        </w:tc>
        <w:tc>
          <w:tcPr>
            <w:tcW w:type="dxa" w:w="2541"/>
            <w:tcMar>
              <w:top w:w="50" w:type="dxa"/>
              <w:start w:w="60" w:type="dxa"/>
              <w:bottom w:w="50" w:type="dxa"/>
              <w:end w:w="60" w:type="dxa"/>
            </w:tcMar>
            <w:vAlign w:val="top"/>
          </w:tcPr>
          <w:p>
            <w:r>
              <w:t>TOO NARROW</w:t>
            </w:r>
          </w:p>
        </w:tc>
        <w:tc>
          <w:tcPr>
            <w:tcW w:type="dxa" w:w="2541"/>
            <w:tcMar>
              <w:top w:w="50" w:type="dxa"/>
              <w:start w:w="60" w:type="dxa"/>
              <w:bottom w:w="50" w:type="dxa"/>
              <w:end w:w="60" w:type="dxa"/>
            </w:tcMar>
            <w:vAlign w:val="top"/>
          </w:tcPr>
          <w:p>
            <w:r>
              <w:t>GGD 186 project witness gives Rasa-mañjarī and preserves Rati-mañjarī / Bhānumatī alternatives.</w:t>
            </w:r>
          </w:p>
        </w:tc>
        <w:tc>
          <w:tcPr>
            <w:tcW w:type="dxa" w:w="2541"/>
            <w:tcMar>
              <w:top w:w="50" w:type="dxa"/>
              <w:start w:w="60" w:type="dxa"/>
              <w:bottom w:w="50" w:type="dxa"/>
              <w:end w:w="60" w:type="dxa"/>
            </w:tcMar>
            <w:vAlign w:val="top"/>
          </w:tcPr>
          <w:p>
            <w:r>
              <w:t>Preserve plurality.</w:t>
            </w:r>
          </w:p>
        </w:tc>
      </w:tr>
    </w:tbl>
    <w:p>
      <w:pPr>
        <w:pStyle w:val="Heading1"/>
        <w:keepNext w:val="1"/>
        <w:keepLines w:val="1"/>
      </w:pPr>
      <w:r>
        <w:t>30. Final architecture of the drafted biography</w:t>
      </w:r>
    </w:p>
    <w:p>
      <w:pPr/>
      <w:r>
        <w:t>• RDGB-01 — A Child in the House of Twelve Lakhs — childhood, family wealth, inherited Vaiṣṇava culture, and Haridāsa Ṭhākura.</w:t>
      </w:r>
    </w:p>
    <w:p>
      <w:pPr/>
      <w:r>
        <w:t>• RDGB-02 — At Śāntipura — longing, restraint, and Mahāprabhu’s education of renunciation.</w:t>
      </w:r>
    </w:p>
    <w:p>
      <w:pPr/>
      <w:r>
        <w:t>• RDGB-03 — The Businessman’s Year — arrest, diplomacy, household competence, and freedom no rope could hold.</w:t>
      </w:r>
    </w:p>
    <w:p>
      <w:pPr/>
      <w:r>
        <w:t>• RDGB-04 — Pānihāṭi — Nityānanda’s 'punishment,' Vaiṣṇava-sevā, and the door to freedom.</w:t>
      </w:r>
    </w:p>
    <w:p>
      <w:pPr/>
      <w:r>
        <w:t>• RDGB-05 — The Road No One Was Watching — Yadunandana, final escape, and twelve days to Purī.</w:t>
      </w:r>
    </w:p>
    <w:p>
      <w:pPr/>
      <w:r>
        <w:t>• RDGB-06 — Svarūpera Raghu: The Instruction He Lived — entrusted to Svarūpa; humility, nāma, simplicity, and mānasī-sevā.</w:t>
      </w:r>
    </w:p>
    <w:p>
      <w:pPr/>
      <w:r>
        <w:t>• RDGB-07 — Renunciation Ripens — family wealth follows him to Purī; Siṁha-dvāra and chatra independence.</w:t>
      </w:r>
    </w:p>
    <w:p>
      <w:pPr/>
      <w:r>
        <w:t>• RDGB-08 — Govardhana in His Hands — Govardhana-śilā, guñjā-mālā, tulasī-water worship, and Mahāprabhu’s intention.</w:t>
      </w:r>
    </w:p>
    <w:p>
      <w:pPr/>
      <w:r>
        <w:t>• RDGB-09 — The Rice Even the Cows Refused — mature renunciation and Mahāprabhu’s affectionate tasting.</w:t>
      </w:r>
    </w:p>
    <w:p>
      <w:pPr/>
      <w:r>
        <w:t>• RDGB-10 — Sixteen Years at the Heart of Antya-līlā — confidential service, memory, notes, and transmission.</w:t>
      </w:r>
    </w:p>
    <w:p>
      <w:pPr/>
      <w:r>
        <w:t>• RDGB-11 — When the Two Lights Disappeared — the end of Purī and the journey to Rūpa and Sanātana.</w:t>
      </w:r>
    </w:p>
    <w:p>
      <w:pPr/>
      <w:r>
        <w:t>• RDGB-12 — Rūpa and Sanātana Refuse His Death — the third brother and the memory carried from Purī.</w:t>
      </w:r>
    </w:p>
    <w:p>
      <w:pPr/>
      <w:r>
        <w:t>• RDGB-13 — Rādhā-kuṇḍa Becomes His Abode — Govardhana, Rādhā-kuṇḍa, mature practice, and 'here alone shall be my residence.'</w:t>
      </w:r>
    </w:p>
    <w:p>
      <w:pPr/>
      <w:r>
        <w:t>• RDGB-14 — The Sevaka of Rādhā-kuṇḍa — care for the waters, the kuṭīra, and a sacred community.</w:t>
      </w:r>
    </w:p>
    <w:p>
      <w:pPr/>
      <w:r>
        <w:t>• RDGB-15 — The Poet of Longing — what Raghunātha’s own writings reveal behind the outward vairāgya.</w:t>
      </w:r>
    </w:p>
    <w:p>
      <w:pPr/>
      <w:r>
        <w:t>• RDGB-16 — The Elder at Rādhā-kuṇḍa — Śrīnivāsa, Narottama, Rāmacandra, Jāhnavā, and the next generation.</w:t>
      </w:r>
    </w:p>
    <w:p>
      <w:pPr/>
      <w:r>
        <w:t>• RDGB-17 — The Last Years — deepening viraha, bodily weakness, continuing śilā/guñjā worship, and the 1584/1588 chronology control.</w:t>
      </w:r>
    </w:p>
    <w:p>
      <w:pPr/>
      <w:r>
        <w:t>• RDGB-18 — At His Samādhi — disappearance traditions, the living samādhi memory, and pilgrim-facing synthesis.</w:t>
      </w:r>
    </w:p>
    <w:p>
      <w:pPr/>
      <w:r>
        <w:t>• RDGB-A01 — Appearance Day at Rādhā-kuṇḍa — tithi, prayers, readings, and practical observance.</w:t>
      </w:r>
    </w:p>
    <w:p>
      <w:pPr/>
      <w:r>
        <w:t>• RDGB-A02 — Chronology and Source Matrix — controlling date language for the whole biography.</w:t>
      </w:r>
    </w:p>
    <w:p>
      <w:pPr/>
      <w:r>
        <w:t>• RDGB-A03 — Works of Raghunātha dāsa Gosvāmī — annotated bibliography and title/provenance controls.</w:t>
      </w:r>
    </w:p>
    <w:p>
      <w:pPr/>
      <w:r>
        <w:t>• RDGB-A04 — Rasa Mañjarī, Rati Mañjarī and Bhānumatī — source-critical inner-identity note.</w:t>
      </w:r>
    </w:p>
    <w:p>
      <w:pPr>
        <w:pStyle w:val="Heading1"/>
        <w:keepNext w:val="1"/>
        <w:keepLines w:val="1"/>
      </w:pPr>
      <w:r>
        <w:t>31. Source register for RDG-R01</w:t>
      </w:r>
    </w:p>
    <w:p>
      <w:pPr>
        <w:pStyle w:val="Heading2"/>
        <w:keepNext w:val="1"/>
        <w:keepLines w:val="1"/>
      </w:pPr>
      <w:r>
        <w:t>Primary / early Gauḍīya (A)</w:t>
      </w:r>
    </w:p>
    <w:p>
      <w:pPr>
        <w:ind w:left="259" w:hanging="173"/>
      </w:pPr>
      <w:r>
        <w:rPr>
          <w:b/>
        </w:rPr>
        <w:t xml:space="preserve">• </w:t>
      </w:r>
      <w:r>
        <w:t>Raghunātha dāsa Gosvāmī, Stavāvalī — project printed/searchable witness. Key texts: Gaurāṅga-stava-kalpavṛkṣa 11; Manaḥ-śikṣā; Govardhana prayers; Rādhā-kuṇḍāṣṭaka; Vilāpa-kusumāñjali; Vraja-vilāsa-stava; Sva-niyama-daśaka.</w:t>
      </w:r>
    </w:p>
    <w:p>
      <w:pPr>
        <w:ind w:left="259" w:hanging="173"/>
      </w:pPr>
      <w:r>
        <w:rPr>
          <w:b/>
        </w:rPr>
        <w:t xml:space="preserve">• </w:t>
      </w:r>
      <w:r>
        <w:t>Raghunātha dāsa Gosvāmī, Muktā-carita — project English/annotated witness and Sanskrit project file; title page identifies Raghunāthadāsa Gosvāmin.</w:t>
      </w:r>
    </w:p>
    <w:p>
      <w:pPr>
        <w:ind w:left="259" w:hanging="173"/>
      </w:pPr>
      <w:r>
        <w:rPr>
          <w:b/>
        </w:rPr>
        <w:t xml:space="preserve">• </w:t>
      </w:r>
      <w:r>
        <w:t>Kṛṣṇadāsa Kavirāja, Caitanya-caritāmṛta: Madhya 16.216–243; Antya 3.165–170, 269; Antya 6 entire chapter, especially 202–203, 236–241, 287–327; Ādi 10.91–103; Madhya 2.84; Antya 14.7–10.</w:t>
      </w:r>
    </w:p>
    <w:p>
      <w:pPr>
        <w:ind w:left="259" w:hanging="173"/>
      </w:pPr>
      <w:r>
        <w:t>• Kavi Karṇapūra, Gaura-gaṇoddeśa-dīpikā 186 — project English witness plus Sanskrit text checked in RDG-R03; Rasa Mañjarī is primary, with explicit Rati Mañjarī and Bhānumatī alternatives. Critical-edition variant review remains open.</w:t>
      </w:r>
    </w:p>
    <w:p>
      <w:pPr>
        <w:pStyle w:val="Heading2"/>
        <w:keepNext w:val="1"/>
        <w:keepLines w:val="1"/>
      </w:pPr>
      <w:r>
        <w:t>Early Vraja / Gauḍīya pilgrimage memory (B)</w:t>
      </w:r>
    </w:p>
    <w:p>
      <w:pPr>
        <w:ind w:left="259" w:hanging="173"/>
      </w:pPr>
      <w:r>
        <w:rPr>
          <w:b/>
        </w:rPr>
        <w:t xml:space="preserve">• </w:t>
      </w:r>
      <w:r>
        <w:t>Narahari Cakravartī, Bhakti-ratnākara — restoration/paṅkoddhāra, Pāṇḍava trees, first-kuṭīra/tiger narrative, Rādhā-kuṇḍa community, Śrīnivāsa–Narottama and Rāmacandra visits, early bibliographic list.</w:t>
      </w:r>
    </w:p>
    <w:p>
      <w:pPr>
        <w:ind w:left="259" w:hanging="173"/>
      </w:pPr>
      <w:r>
        <w:rPr>
          <w:b/>
        </w:rPr>
        <w:t xml:space="preserve">• </w:t>
      </w:r>
      <w:r>
        <w:t>Padakalpataru material as quoted in later Rādhā-kuṇḍa tradition — use only where the original pada/source can be identified; do not allow later quotation to outrank CC when CC already gives the event.</w:t>
      </w:r>
    </w:p>
    <w:p>
      <w:pPr>
        <w:pStyle w:val="Heading2"/>
        <w:keepNext w:val="1"/>
        <w:keepLines w:val="1"/>
      </w:pPr>
      <w:r>
        <w:t>Later/local (C)</w:t>
      </w:r>
    </w:p>
    <w:p>
      <w:pPr>
        <w:ind w:left="259" w:hanging="173"/>
      </w:pPr>
      <w:r>
        <w:rPr>
          <w:b/>
        </w:rPr>
        <w:t xml:space="preserve">• </w:t>
      </w:r>
      <w:r>
        <w:t>Ananta Dāsa Bābājī, The Glory and Heritage of Śrī Śrī Rādhākuṇḍa — extended later Rādhā-kuṇḍa biography, local reception and memorial traditions.</w:t>
      </w:r>
    </w:p>
    <w:p>
      <w:pPr>
        <w:ind w:left="259" w:hanging="173"/>
      </w:pPr>
      <w:r>
        <w:rPr>
          <w:b/>
        </w:rPr>
        <w:t xml:space="preserve">• </w:t>
      </w:r>
      <w:r>
        <w:t>Modern Gauḍīya/ISKCON calendrical tradition — appearance on Mādhava/Māgha gaura pañcamī; standard 1494–1586 chronology. Calendar practice is useful, chronology remains source-critical.</w:t>
      </w:r>
    </w:p>
    <w:p>
      <w:pPr>
        <w:pStyle w:val="Heading2"/>
        <w:keepNext w:val="1"/>
        <w:keepLines w:val="1"/>
      </w:pPr>
      <w:r>
        <w:t>Historical / documentary (D)</w:t>
      </w:r>
    </w:p>
    <w:p>
      <w:pPr>
        <w:ind w:left="259" w:hanging="173"/>
      </w:pPr>
      <w:r>
        <w:rPr>
          <w:b/>
        </w:rPr>
        <w:t xml:space="preserve">• </w:t>
      </w:r>
      <w:r>
        <w:t>Tarapada Mukherjee and Irfan Habib, 'Land Rights in the Reign of Akbar: The Evidence of the Sale-deeds of Vrindaban and Aritha,' especially pp. 237–239 and document calendar pp. 248–249; Document 11/G.D.8 dated 2 June 1588.</w:t>
      </w:r>
    </w:p>
    <w:p>
      <w:pPr>
        <w:ind w:left="259" w:hanging="173"/>
      </w:pPr>
      <w:r>
        <w:t>• Tarapada Mukherjee and J. C. Wright, 'An Early Testamentary Document in Sanskrit,' especially pp. 316–318: Raghunātha’s A.D. 1584 deathbed settlement (VRI ser. 3 acc. 37; ser. 4 acc. 37A) and the 1637 Rādhā-kuṇḍa dwelling/property succession.</w:t>
      </w:r>
    </w:p>
    <w:p>
      <w:pPr>
        <w:ind w:left="259" w:hanging="173"/>
      </w:pPr>
      <w:r>
        <w:rPr>
          <w:b/>
        </w:rPr>
        <w:t xml:space="preserve">• </w:t>
      </w:r>
      <w:r>
        <w:t>Irfan Habib and Tarapada Mukherjee, Braj Bhum in Mughal Times — broader Āriṭ/Rādhā-kuṇḍa documentary setting.</w:t>
      </w:r>
    </w:p>
    <w:p>
      <w:pPr>
        <w:ind w:left="259" w:hanging="173"/>
      </w:pPr>
      <w:r>
        <w:rPr>
          <w:b/>
        </w:rPr>
        <w:t xml:space="preserve">• </w:t>
      </w:r>
      <w:r>
        <w:t>Alan W. Entwistle, Braj: Centre of Krishna Pilgrimage — later historical/localization synthesis; use cautiously where underlying documents are not directly available.</w:t>
      </w:r>
    </w:p>
    <w:p>
      <w:pPr>
        <w:pStyle w:val="Heading2"/>
        <w:keepNext w:val="1"/>
      </w:pPr>
      <w:r>
        <w:t>Project chronology control</w:t>
      </w:r>
    </w:p>
    <w:p>
      <w:pPr/>
      <w:r>
        <w:t>• RDG-R02, Raghunātha dāsa Gosvāmī: Appearance, Disappearance, and Chronology Research Note Final v1.0 — detailed chronology control; RDGB-A02 is the compact biography-facing chronology/source matrix.</w:t>
      </w:r>
    </w:p>
    <w:p>
      <w:pPr>
        <w:pStyle w:val="Heading2"/>
        <w:keepNext w:val="1"/>
      </w:pPr>
      <w:r>
        <w:t>Project literary control</w:t>
      </w:r>
    </w:p>
    <w:p>
      <w:r>
        <w:t>• RDG-R03, Works, Literary Voice, and Inner Identity Research Ledger Final v1.0 — detailed literary control; RDGB-A03 and RDGB-A04 are the compact bibliography and identity appendices.</w:t>
      </w:r>
    </w:p>
    <w:p>
      <w:pPr>
        <w:pStyle w:val="Heading1"/>
        <w:keepNext w:val="1"/>
        <w:keepLines w:val="1"/>
      </w:pPr>
      <w:r>
        <w:t>32. Completion ruling for Final v1.0</w:t>
      </w:r>
    </w:p>
    <w:tbl>
      <w:tblPr>
        <w:tblW w:type="auto" w:w="0"/>
        <w:jc w:val="center"/>
        <w:tblLook w:firstColumn="1" w:firstRow="1" w:lastColumn="0" w:lastRow="0" w:noHBand="0" w:noVBand="1" w:val="04A0"/>
      </w:tblPr>
      <w:tblGrid>
        <w:gridCol w:w="10166"/>
      </w:tblGrid>
      <w:tr>
        <w:trPr>
          <w:cantSplit w:val="1"/>
        </w:trPr>
        <w:tc>
          <w:tcPr>
            <w:tcW w:type="dxa" w:w="10166"/>
            <w:shd w:fill="F7F4EE"/>
            <w:tcMar>
              <w:top w:w="110" w:type="dxa"/>
              <w:start w:w="150" w:type="dxa"/>
              <w:bottom w:w="110" w:type="dxa"/>
              <w:end w:w="150" w:type="dxa"/>
            </w:tcMar>
          </w:tcPr>
          <w:p>
            <w:r>
              <w:rPr>
                <w:b/>
              </w:rPr>
              <w:t>RDG-R01 FINAL v1.0 — FROZEN. RDGB-01–18 and RDGB-A01–A04 constitute the complete Raghunātha documentation set. RDG-R02 Final v1.0 controls chronology; RDG-R03 Final v1.0 controls works and inner-identity evidence. The content, verification, editorial-cleanup, metadata-normalization, assembly, and QA phases are complete. Remaining manuscript, archival, and local-calendar desiderata are explicitly non-blocking and may be logged separately; they do not reopen the finished biography unless a future discovery materially contradicts Final v1.0.</w:t>
            </w:r>
          </w:p>
        </w:tc>
      </w:tr>
    </w:tbl>
    <w:sectPr w:rsidR="00FC693F" w:rsidRPr="0006063C" w:rsidSect="00034616">
      <w:headerReference w:type="default" r:id="rId9"/>
      <w:footerReference w:type="default" r:id="rId10"/>
      <w:pgSz w:w="12240" w:h="15840"/>
      <w:pgMar w:top="893" w:right="1037" w:bottom="893" w:left="1037"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RDG-R01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Aptos" w:hAnsi="Aptos"/>
      <w:b/>
      <w:bCs/>
      <w:color w:val="4A34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8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Raghunātha dāsa Gosvāmī — Biographical Source Ledger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