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Raghunātha dāsa Gosvāmī</w:t>
      </w:r>
    </w:p>
    <w:p>
      <w:pPr>
        <w:pStyle w:val="Subtitle"/>
      </w:pPr>
      <w:r>
        <w:t>Source Verification and Completion Report</w:t>
      </w:r>
    </w:p>
    <w:p>
      <w:r>
        <w:t>Final v1.0 • 3 September 2026</w:t>
      </w:r>
    </w:p>
    <w:p>
      <w:pPr>
        <w:pStyle w:val="Heading1"/>
      </w:pPr>
      <w:r>
        <w:t>Final ruling</w:t>
      </w:r>
    </w:p>
    <w:p>
      <w:r>
        <w:t>The RDGB-01–18 narrative and A01–A04 appendices are complete and may be frozen as Final v1.0. The bounded final verification pass found no source failure requiring a narrative rewrite. Remaining items are archival or stemmatic desiderata and are explicitly non-blocking.</w:t>
      </w:r>
    </w:p>
    <w:p>
      <w:pPr>
        <w:pStyle w:val="Heading1"/>
      </w:pPr>
      <w:r>
        <w:t>Verification completed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cantSplit/>
          <w:tblHeader w:val="true"/>
        </w:trPr>
        <w:tc>
          <w:tcPr>
            <w:tcW w:type="dxa" w:w="5026"/>
          </w:tcPr>
          <w:p>
            <w:r>
              <w:t>Verification area</w:t>
            </w:r>
          </w:p>
        </w:tc>
        <w:tc>
          <w:tcPr>
            <w:tcW w:type="dxa" w:w="5026"/>
          </w:tcPr>
          <w:p>
            <w:r>
              <w:t>Final result</w:t>
            </w:r>
          </w:p>
        </w:tc>
      </w:tr>
      <w:tr>
        <w:trPr>
          <w:cantSplit/>
        </w:trPr>
        <w:tc>
          <w:tcPr>
            <w:tcW w:type="dxa" w:w="5026"/>
          </w:tcPr>
          <w:p>
            <w:r>
              <w:t>Caitanya-caritāmṛta</w:t>
            </w:r>
          </w:p>
        </w:tc>
        <w:tc>
          <w:tcPr>
            <w:tcW w:type="dxa" w:w="5026"/>
          </w:tcPr>
          <w:p>
            <w:r>
              <w:t>Controlling Bengali/IAST passages were rechecked for the Svarūpa handoff, Mahāprabhu’s instructions, progressive renunciation, Govardhana-śilā/guñjā-mālā, rejected-rice episode, sixteen-year Purī period, kaḍacā/transmission chain and Vraja transition. No substantive correction required.</w:t>
            </w:r>
          </w:p>
        </w:tc>
      </w:tr>
      <w:tr>
        <w:trPr>
          <w:cantSplit/>
        </w:trPr>
        <w:tc>
          <w:tcPr>
            <w:tcW w:type="dxa" w:w="5026"/>
          </w:tcPr>
          <w:p>
            <w:r>
              <w:t>Stavāvalī / Raghunātha’s own writings</w:t>
            </w:r>
          </w:p>
        </w:tc>
        <w:tc>
          <w:tcPr>
            <w:tcW w:type="dxa" w:w="5026"/>
          </w:tcPr>
          <w:p>
            <w:r>
              <w:t>Principal quotations used in the biography and pilgrim appendix were checked against current Sanskrit witnesses: Manaḥ-śikṣā, Govardhana residence prayers, Rādhā-kuṇḍāṣṭaka, Vilāpa-kusumāñjali and Gaurāṅga-stava. Witness/title variants are preserved rather than hidden.</w:t>
            </w:r>
          </w:p>
        </w:tc>
      </w:tr>
      <w:tr>
        <w:trPr>
          <w:cantSplit/>
        </w:trPr>
        <w:tc>
          <w:tcPr>
            <w:tcW w:type="dxa" w:w="5026"/>
          </w:tcPr>
          <w:p>
            <w:r>
              <w:t>Bhakti-ratnākara Taraṅga 5</w:t>
            </w:r>
          </w:p>
        </w:tc>
        <w:tc>
          <w:tcPr>
            <w:tcW w:type="dxa" w:w="5026"/>
          </w:tcPr>
          <w:p>
            <w:r>
              <w:t>Bengali/Romanized witness checked for 5.545–547 paṅkoddhāra/excavation, 5.549–552 Pāṇḍava trees, 5.554–562 tiger/kuṭīra, 5.582–586 Rādhā-kuṇḍa residence through Raghunātha’s mercy/Muktā-carita, and 5.588–594 Śrīnivāsa–Narottama encounter. These support RDGB-14 and RDGB-16 as written.</w:t>
            </w:r>
          </w:p>
        </w:tc>
      </w:tr>
      <w:tr>
        <w:trPr>
          <w:cantSplit/>
        </w:trPr>
        <w:tc>
          <w:tcPr>
            <w:tcW w:type="dxa" w:w="5026"/>
          </w:tcPr>
          <w:p>
            <w:r>
              <w:t>Gaura-gaṇoddeśa-dīpikā 181 and 186</w:t>
            </w:r>
          </w:p>
        </w:tc>
        <w:tc>
          <w:tcPr>
            <w:tcW w:type="dxa" w:w="5026"/>
          </w:tcPr>
          <w:p>
            <w:r>
              <w:t>Published Sanskrit witnesses support the retained identity plurality. Verse 186 gives Rasa Mañjarī first and explicitly preserves Rati Mañjarī and Bhānumatī as nāma-bheda variants.</w:t>
            </w:r>
          </w:p>
        </w:tc>
      </w:tr>
      <w:tr>
        <w:trPr>
          <w:cantSplit/>
        </w:trPr>
        <w:tc>
          <w:tcPr>
            <w:tcW w:type="dxa" w:w="5026"/>
          </w:tcPr>
          <w:p>
            <w:r>
              <w:t>1584 / 1588 documentary evidence</w:t>
            </w:r>
          </w:p>
        </w:tc>
        <w:tc>
          <w:tcPr>
            <w:tcW w:type="dxa" w:w="5026"/>
          </w:tcPr>
          <w:p>
            <w:r>
              <w:t>The 1584 Sanskrit death-bed settlement and 1588 hiba were rechecked against published documentary scholarship. Final wording remains conservative: 1584 is the strongest fixed late-life horizon; 1588 is a later legal datum; exact disappearance year unresolved.</w:t>
            </w:r>
          </w:p>
        </w:tc>
      </w:tr>
      <w:tr>
        <w:trPr>
          <w:cantSplit/>
        </w:trPr>
        <w:tc>
          <w:tcPr>
            <w:tcW w:type="dxa" w:w="5026"/>
          </w:tcPr>
          <w:p>
            <w:r>
              <w:t>Works bibliography</w:t>
            </w:r>
          </w:p>
        </w:tc>
        <w:tc>
          <w:tcPr>
            <w:tcW w:type="dxa" w:w="5026"/>
          </w:tcPr>
          <w:p>
            <w:r>
              <w:t>The received three-unit early inventory and thirty-work Stavāvalī catalogue were rechecked. Muktā-carita and Dāna-keli-cintāmaṇi remain securely attributed in the received tradition; composition dates remain unknown unless manuscript evidence is later recovered.</w:t>
            </w:r>
          </w:p>
        </w:tc>
      </w:tr>
    </w:tbl>
    <w:p>
      <w:pPr>
        <w:pStyle w:val="Heading1"/>
      </w:pPr>
      <w:r>
        <w:t>Recorded textual/title variants</w:t>
      </w:r>
    </w:p>
    <w:p>
      <w:r>
        <w:t>• Gaurāṅga-stava title: Caitanya-caritāmṛta Antya 6.326–327 uses Gaurāṅga-stava-kalpavṛkṣa; current Grantha Mandira cataloguing/colophons also preserve kalpa-taru / kalpa-druma forms. The project treats these as witness/title variants.</w:t>
      </w:r>
    </w:p>
    <w:p>
      <w:r>
        <w:t>• Manaḥ-śikṣā 1 has minor witness/editorial variants (including forms around apūrvām/apūrvaṁ and caṭubhir/caturbhir). The project reading is supported by published Gauḍīya witnesses and is not silently normalized to a single modern edition.</w:t>
      </w:r>
    </w:p>
    <w:p>
      <w:r>
        <w:t>• Dāna-kuṇḍa aṣṭaka catalogue forms include nivartana / nirvartana. This is bibliographic variation, not a biographical issue.</w:t>
      </w:r>
    </w:p>
    <w:p>
      <w:pPr>
        <w:pStyle w:val="Heading1"/>
      </w:pPr>
      <w:r>
        <w:t>Non-blocking archival desiderata</w:t>
      </w:r>
    </w:p>
    <w:p>
      <w:r>
        <w:t>• Direct printed-Bengali collation of Bhakti-ratnākara 11.150–189 (Jāhnavā at Rādhā-kuṇḍa). Final v1.0 keeps this material at B-level and paraphrases rather than presenting an unverified exact Bengali quotation.</w:t>
      </w:r>
    </w:p>
    <w:p>
      <w:r>
        <w:t>• Direct collation of the two surviving/reported 1584 Sanskrit settlement copies and fuller archival study of the 1588 legal instrument.</w:t>
      </w:r>
    </w:p>
    <w:p>
      <w:r>
        <w:t>• Manuscript stemmatics for Stavāvalī, Muktā-carita and Dāna-keli-cintāmaṇi.</w:t>
      </w:r>
    </w:p>
    <w:p>
      <w:r>
        <w:t>• Genealogy of later Tulasī Mañjarī = Rati Mañjarī / Bhānumatī equations.</w:t>
      </w:r>
    </w:p>
    <w:p>
      <w:r>
        <w:t>• Local Vraja pañjikā re-check for the 2027 appearance-day field date shortly before pilgrimage.</w:t>
      </w:r>
    </w:p>
    <w:p>
      <w:pPr>
        <w:pStyle w:val="Heading1"/>
      </w:pPr>
      <w:r>
        <w:t>Freeze rule</w:t>
      </w:r>
    </w:p>
    <w:p>
      <w:r>
        <w:t>No new Raghunātha narrative research should be opened for this Govardhana Pilgrimage project unless a newly recovered source materially contradicts a published claim in Final v1.0. New archival discoveries may be logged separately without reopening the finished biography.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94" w:bottom="922" w:left="109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RDG-V01 • Final v1.0 • 3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GOVARDHANA PILGRIMAGE  •  RAGHUNĀTHA PROJECT VERIFICATION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B26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7B263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320"/>
      <w:contextualSpacing/>
    </w:pPr>
    <w:rPr>
      <w:rFonts w:asciiTheme="majorHAnsi" w:eastAsiaTheme="majorEastAsia" w:hAnsiTheme="majorHAnsi" w:cstheme="majorBidi" w:ascii="Aptos Display" w:hAnsi="Aptos Display"/>
      <w:color w:val="7B263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Raghunātha dāsa Gosvāmī — Source Verification and Completion Report — Final v1.0</dc:title>
  <dc:subject>Govardhana Pilgrimage - Raghunatha Dasa Gosvami</dc:subject>
  <dc:creator>Govardhana Pilgrimage Project</dc:creator>
  <cp:keywords>Raghunatha Dasa Gosvami; Radha-kunda; Govardhana; Gaudiya Vaisnavism</cp:keywords>
  <dc:description>Final v1.0 - source-critical scholarly-devotional edition</dc:description>
  <cp:lastModifiedBy>Govardhana Pilgrimage Project</cp:lastModifiedBy>
  <cp:revision>1</cp:revision>
  <dcterms:created xsi:type="dcterms:W3CDTF">2013-12-23T23:15:00Z</dcterms:created>
  <dcterms:modified xsi:type="dcterms:W3CDTF">2013-12-23T23:15:00Z</dcterms:modified>
  <cp:category/>
</cp:coreProperties>
</file>