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A78345"/>
          <w:sz w:val="34"/>
        </w:rPr>
        <w:t>Rādhā-kuṇḍa Story</w:t>
      </w:r>
    </w:p>
    <w:p>
      <w:pPr>
        <w:jc w:val="center"/>
      </w:pPr>
      <w:r>
        <w:rPr>
          <w:b/>
          <w:color w:val="762D3A"/>
          <w:sz w:val="54"/>
        </w:rPr>
        <w:t>WRITING BLUEPRINT</w:t>
      </w:r>
    </w:p>
    <w:p>
      <w:pPr>
        <w:jc w:val="center"/>
      </w:pPr>
      <w:r>
        <w:rPr>
          <w:i/>
          <w:sz w:val="23"/>
        </w:rPr>
        <w:t>Narrative architecture • source control • section-by-section drafting plan</w:t>
      </w:r>
    </w:p>
    <w:p/>
    <w:tbl>
      <w:tblPr>
        <w:tblW w:type="auto" w:w="0"/>
        <w:jc w:val="center"/>
        <w:tblLayout w:type="autofit"/>
        <w:tblLook w:firstColumn="1" w:firstRow="1" w:lastColumn="0" w:lastRow="0" w:noHBand="0" w:noVBand="1" w:val="04A0"/>
      </w:tblPr>
      <w:tblGrid>
        <w:gridCol w:w="10166"/>
      </w:tblGrid>
      <w:tr>
        <w:tc>
          <w:tcPr>
            <w:tcW w:type="dxa" w:w="10166"/>
            <w:shd w:fill="E8F1E7"/>
          </w:tcPr>
          <w:p>
            <w:pPr>
              <w:spacing w:before="40" w:after="40"/>
            </w:pPr>
            <w:r>
              <w:rPr>
                <w:b/>
                <w:color w:val="762D3A"/>
              </w:rPr>
              <w:t xml:space="preserve">STATUS  </w:t>
            </w:r>
            <w:r>
              <w:t>Planning document for the first reader-facing Rādhā-kuṇḍa chapter. The textual, theological, nitya-līlā, people-of-the-landscape, and Caitanya/Gosvāmī research blocks are mature enough for composition. Historical-physical and field-guide details remain partly provisional and are explicitly gated below.</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4EEE3"/>
          </w:tcPr>
          <w:p>
            <w:pPr>
              <w:spacing w:before="40" w:after="40"/>
            </w:pPr>
            <w:r>
              <w:rPr>
                <w:b/>
                <w:color w:val="762D3A"/>
              </w:rPr>
              <w:t xml:space="preserve">WORKING RULE  </w:t>
            </w:r>
            <w:r>
              <w:t>Each numbered section of the Story will be drafted and saved as its own DOCX. After review and approval, the clean section files can later be assembled into the complete Rādhā-kuṇḍa chapter without losing their individual research trail.</w:t>
            </w:r>
          </w:p>
        </w:tc>
      </w:tr>
    </w:tbl>
    <w:p>
      <w:pPr>
        <w:spacing w:after="0"/>
      </w:pPr>
    </w:p>
    <w:p>
      <w:pPr>
        <w:jc w:val="center"/>
      </w:pPr>
      <w:r>
        <w:rPr>
          <w:color w:val="6A6A6A"/>
          <w:sz w:val="19"/>
        </w:rPr>
        <w:t>Control document • v1.0 • 22 August 2026</w:t>
      </w:r>
    </w:p>
    <w:p>
      <w:r>
        <w:br w:type="page"/>
      </w:r>
    </w:p>
    <w:p>
      <w:pPr>
        <w:pStyle w:val="Heading1"/>
      </w:pPr>
      <w:r>
        <w:t>1. Purpose and readiness ruling</w:t>
      </w:r>
    </w:p>
    <w:p>
      <w:r>
        <w:t>This blueprint converts the Rādhā-kuṇḍa research corpus into a controlled writing plan. It is not another research ledger and it is not finished guidebook prose. Its purpose is to decide the literary order, the source burden carried by each section, the quotations worth preserving, the claims that must remain qualified, and the file/version workflow for drafting the chapter one section at a time.</w:t>
      </w:r>
    </w:p>
    <w:tbl>
      <w:tblPr>
        <w:tblW w:type="auto" w:w="0"/>
        <w:jc w:val="center"/>
        <w:tblLayout w:type="autofit"/>
        <w:tblLook w:firstColumn="1" w:firstRow="1" w:lastColumn="0" w:lastRow="0" w:noHBand="0" w:noVBand="1" w:val="04A0"/>
      </w:tblPr>
      <w:tblGrid>
        <w:gridCol w:w="10166"/>
      </w:tblGrid>
      <w:tr>
        <w:tc>
          <w:tcPr>
            <w:tcW w:type="dxa" w:w="10166"/>
            <w:shd w:fill="E8F1E7"/>
          </w:tcPr>
          <w:p>
            <w:pPr>
              <w:spacing w:before="40" w:after="40"/>
            </w:pPr>
            <w:r>
              <w:rPr>
                <w:b/>
                <w:color w:val="762D3A"/>
              </w:rPr>
              <w:t xml:space="preserve">READINESS RULING  </w:t>
            </w:r>
            <w:r>
              <w:t>Begin composition now. RS-01/RS-02/RS-03 explicitly establish that the manifestation narrative, its theological architecture, and Mahāprabhu’s recognition are sufficiently controlled for literary composition. RK-02 and RK-03 supply the nitya-līlā landscape and social/service world; RK-04 supplies the early Gauḍīya history. Missing Bengali Bhakti-ratnākara verification and the missing Survey of India sheet remain final-verification or historical-map gaps, not blockers for the devotional story.</w:t>
            </w:r>
          </w:p>
        </w:tc>
      </w:tr>
    </w:tbl>
    <w:p>
      <w:pPr>
        <w:spacing w:after="0"/>
      </w:pPr>
    </w:p>
    <w:p>
      <w:pPr>
        <w:pStyle w:val="Heading1"/>
      </w:pPr>
      <w:r>
        <w:t>2. Governing writing principles</w:t>
      </w:r>
    </w:p>
    <w:p>
      <w:pPr>
        <w:ind w:left="259" w:hanging="259"/>
      </w:pPr>
      <w:r>
        <w:rPr>
          <w:b/>
        </w:rPr>
        <w:t xml:space="preserve">1. Story first; apparatus behind it. </w:t>
      </w:r>
      <w:r>
        <w:t>The reader should experience a coherent sacred history rather than a sequence of source summaries. The source apparatus must make every important claim auditable without turning the main prose into a ledger.</w:t>
      </w:r>
    </w:p>
    <w:p>
      <w:pPr>
        <w:ind w:left="259" w:hanging="259"/>
      </w:pPr>
      <w:r>
        <w:rPr>
          <w:b/>
        </w:rPr>
        <w:t xml:space="preserve">2. Never collapse evidence layers. </w:t>
      </w:r>
      <w:r>
        <w:t>A = primary scripture/Gosvāmī; B = early Vraja pilgrimage/localization; C = later/local tradition; D = historical/documentary. Smooth prose may connect them, but it must not erase the change of evidentiary level.</w:t>
      </w:r>
    </w:p>
    <w:p>
      <w:pPr>
        <w:ind w:left="259" w:hanging="259"/>
      </w:pPr>
      <w:r>
        <w:rPr>
          <w:b/>
        </w:rPr>
        <w:t xml:space="preserve">3. Textual antiquity is not localization antiquity. </w:t>
      </w:r>
      <w:r>
        <w:t>An old līlā name does not prove that a modern shrine, ghāṭ, tree, causeway, or kuṭīra occupies the exact footprint intended by the older text.</w:t>
      </w:r>
    </w:p>
    <w:p>
      <w:pPr>
        <w:ind w:left="259" w:hanging="259"/>
      </w:pPr>
      <w:r>
        <w:rPr>
          <w:b/>
        </w:rPr>
        <w:t xml:space="preserve">4. Original wording where it matters. </w:t>
      </w:r>
      <w:r>
        <w:t>Preserve Sanskrit/Bengali/Braj when a term controls interpretation: narma-dharmokti, sva-hastena, yathā rādhā priyā viṣṇos, anudinam/nitya, tīrtha lupta, alpa-jala, mṛttikā, paṅkoddhāra, khodāila, etc.</w:t>
      </w:r>
    </w:p>
    <w:p>
      <w:pPr>
        <w:ind w:left="259" w:hanging="259"/>
      </w:pPr>
      <w:r>
        <w:rPr>
          <w:b/>
        </w:rPr>
        <w:t xml:space="preserve">5. Distinguish quotation from synthesis. </w:t>
      </w:r>
      <w:r>
        <w:t>Phrases coined by the project—such as “visible littleness, revealed fullness” or “union without erasure”—must be identified as interpretive synthesis, not presented as source wording.</w:t>
      </w:r>
    </w:p>
    <w:p>
      <w:pPr>
        <w:ind w:left="259" w:hanging="259"/>
      </w:pPr>
      <w:r>
        <w:rPr>
          <w:b/>
        </w:rPr>
        <w:t xml:space="preserve">6. Do not force parallel texts into one chronology. </w:t>
      </w:r>
      <w:r>
        <w:t>Govinda-līlāmṛta and Kṛṣṇa-bhāvanāmṛta illuminate the same eternal daily world but are not to be flattened into a single verse-for-verse itinerary.</w:t>
      </w:r>
    </w:p>
    <w:p>
      <w:pPr>
        <w:ind w:left="259" w:hanging="259"/>
      </w:pPr>
      <w:r>
        <w:rPr>
          <w:b/>
        </w:rPr>
        <w:t xml:space="preserve">7. Preserve unresolved questions. </w:t>
      </w:r>
      <w:r>
        <w:t>Open provenance, variant names, uncertain localizations, and contradictory later traditions remain visible. A graceful chapter may acknowledge uncertainty without becoming timid or vague.</w:t>
      </w:r>
    </w:p>
    <w:p>
      <w:pPr>
        <w:ind w:left="259" w:hanging="259"/>
      </w:pPr>
      <w:r>
        <w:rPr>
          <w:b/>
        </w:rPr>
        <w:t xml:space="preserve">8. Devotional center stays visible. </w:t>
      </w:r>
      <w:r>
        <w:t>Maps, lists, names, and history must never obscure the central devotional claim: Rādhā-kuṇḍa is Rādhā’s own lake, an eternal meeting-and-service environment of Rādhā-Mādhava, and for Raghunātha dāsa a geographical home of longing for Rādhā-dāsya.</w:t>
      </w:r>
    </w:p>
    <w:p>
      <w:pPr>
        <w:pStyle w:val="Heading1"/>
      </w:pPr>
      <w:r>
        <w:t>3. Section-document workflow</w:t>
      </w:r>
    </w:p>
    <w:p>
      <w:r>
        <w:t>Every literary section should exist as a self-contained, saveable project document. This creates a clean archive and lets us revise one part without destabilizing the whole chapter.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62D3A"/>
          </w:tcPr>
          <w:p>
            <w:pPr>
              <w:spacing w:after="0"/>
            </w:pPr>
            <w:r/>
            <w:r>
              <w:rPr>
                <w:rFonts w:ascii="Aptos" w:hAnsi="Aptos"/>
                <w:b/>
                <w:color w:val="FFFFFF"/>
                <w:sz w:val="18"/>
              </w:rPr>
              <w:t>Stage</w:t>
            </w:r>
          </w:p>
        </w:tc>
        <w:tc>
          <w:tcPr>
            <w:tcW w:type="dxa" w:w="3389"/>
            <w:shd w:fill="762D3A"/>
          </w:tcPr>
          <w:p>
            <w:pPr>
              <w:spacing w:after="0"/>
            </w:pPr>
            <w:r/>
            <w:r>
              <w:rPr>
                <w:rFonts w:ascii="Aptos" w:hAnsi="Aptos"/>
                <w:b/>
                <w:color w:val="FFFFFF"/>
                <w:sz w:val="18"/>
              </w:rPr>
              <w:t>Filename pattern</w:t>
            </w:r>
          </w:p>
        </w:tc>
        <w:tc>
          <w:tcPr>
            <w:tcW w:type="dxa" w:w="3389"/>
            <w:shd w:fill="762D3A"/>
          </w:tcPr>
          <w:p>
            <w:pPr>
              <w:spacing w:after="0"/>
            </w:pPr>
            <w:r/>
            <w:r>
              <w:rPr>
                <w:rFonts w:ascii="Aptos" w:hAnsi="Aptos"/>
                <w:b/>
                <w:color w:val="FFFFFF"/>
                <w:sz w:val="18"/>
              </w:rPr>
              <w:t>Contents</w:t>
            </w:r>
          </w:p>
        </w:tc>
      </w:tr>
      <w:tr>
        <w:trPr>
          <w:cantSplit/>
        </w:trPr>
        <w:tc>
          <w:tcPr>
            <w:tcW w:type="dxa" w:w="3389"/>
          </w:tcPr>
          <w:p>
            <w:pPr>
              <w:spacing w:after="0"/>
            </w:pPr>
            <w:r/>
            <w:r>
              <w:rPr>
                <w:rFonts w:ascii="Aptos" w:hAnsi="Aptos"/>
                <w:b w:val="0"/>
                <w:sz w:val="17"/>
              </w:rPr>
              <w:t>Blueprint</w:t>
            </w:r>
          </w:p>
        </w:tc>
        <w:tc>
          <w:tcPr>
            <w:tcW w:type="dxa" w:w="3389"/>
          </w:tcPr>
          <w:p>
            <w:pPr>
              <w:spacing w:after="0"/>
            </w:pPr>
            <w:r/>
            <w:r>
              <w:rPr>
                <w:rFonts w:ascii="Aptos" w:hAnsi="Aptos"/>
                <w:b w:val="0"/>
                <w:sz w:val="17"/>
              </w:rPr>
              <w:t>RKST-00_Radhakunda_Story_Writing_Blueprint_v1.0.docx</w:t>
            </w:r>
          </w:p>
        </w:tc>
        <w:tc>
          <w:tcPr>
            <w:tcW w:type="dxa" w:w="3389"/>
          </w:tcPr>
          <w:p>
            <w:pPr>
              <w:spacing w:after="0"/>
            </w:pPr>
            <w:r/>
            <w:r>
              <w:rPr>
                <w:rFonts w:ascii="Aptos" w:hAnsi="Aptos"/>
                <w:b w:val="0"/>
                <w:sz w:val="17"/>
              </w:rPr>
              <w:t>This document: architecture, source plan, status gates, file conventions.</w:t>
            </w:r>
          </w:p>
        </w:tc>
      </w:tr>
      <w:tr>
        <w:trPr>
          <w:cantSplit/>
        </w:trPr>
        <w:tc>
          <w:tcPr>
            <w:tcW w:type="dxa" w:w="3389"/>
          </w:tcPr>
          <w:p>
            <w:pPr>
              <w:spacing w:after="0"/>
            </w:pPr>
            <w:r/>
            <w:r>
              <w:rPr>
                <w:rFonts w:ascii="Aptos" w:hAnsi="Aptos"/>
                <w:b w:val="0"/>
                <w:sz w:val="17"/>
              </w:rPr>
              <w:t>Working draft</w:t>
            </w:r>
          </w:p>
        </w:tc>
        <w:tc>
          <w:tcPr>
            <w:tcW w:type="dxa" w:w="3389"/>
          </w:tcPr>
          <w:p>
            <w:pPr>
              <w:spacing w:after="0"/>
            </w:pPr>
            <w:r/>
            <w:r>
              <w:rPr>
                <w:rFonts w:ascii="Aptos" w:hAnsi="Aptos"/>
                <w:b w:val="0"/>
                <w:sz w:val="17"/>
              </w:rPr>
              <w:t>RKST-01_&lt;Short_Title&gt;_Draft_v0.1.docx</w:t>
            </w:r>
          </w:p>
        </w:tc>
        <w:tc>
          <w:tcPr>
            <w:tcW w:type="dxa" w:w="3389"/>
          </w:tcPr>
          <w:p>
            <w:pPr>
              <w:spacing w:after="0"/>
            </w:pPr>
            <w:r/>
            <w:r>
              <w:rPr>
                <w:rFonts w:ascii="Aptos" w:hAnsi="Aptos"/>
                <w:b w:val="0"/>
                <w:sz w:val="17"/>
              </w:rPr>
              <w:t>Reader-facing prose + source notes + unresolved items + cross-reference reminders.</w:t>
            </w:r>
          </w:p>
        </w:tc>
      </w:tr>
      <w:tr>
        <w:trPr>
          <w:cantSplit/>
        </w:trPr>
        <w:tc>
          <w:tcPr>
            <w:tcW w:type="dxa" w:w="3389"/>
          </w:tcPr>
          <w:p>
            <w:pPr>
              <w:spacing w:after="0"/>
            </w:pPr>
            <w:r/>
            <w:r>
              <w:rPr>
                <w:rFonts w:ascii="Aptos" w:hAnsi="Aptos"/>
                <w:b w:val="0"/>
                <w:sz w:val="17"/>
              </w:rPr>
              <w:t>Revised draft</w:t>
            </w:r>
          </w:p>
        </w:tc>
        <w:tc>
          <w:tcPr>
            <w:tcW w:type="dxa" w:w="3389"/>
          </w:tcPr>
          <w:p>
            <w:pPr>
              <w:spacing w:after="0"/>
            </w:pPr>
            <w:r/>
            <w:r>
              <w:rPr>
                <w:rFonts w:ascii="Aptos" w:hAnsi="Aptos"/>
                <w:b w:val="0"/>
                <w:sz w:val="17"/>
              </w:rPr>
              <w:t>RKST-01_&lt;Short_Title&gt;_Draft_v0.2.docx</w:t>
            </w:r>
          </w:p>
        </w:tc>
        <w:tc>
          <w:tcPr>
            <w:tcW w:type="dxa" w:w="3389"/>
          </w:tcPr>
          <w:p>
            <w:pPr>
              <w:spacing w:after="0"/>
            </w:pPr>
            <w:r/>
            <w:r>
              <w:rPr>
                <w:rFonts w:ascii="Aptos" w:hAnsi="Aptos"/>
                <w:b w:val="0"/>
                <w:sz w:val="17"/>
              </w:rPr>
              <w:t>User-reviewed revisions; preserve major source decisions.</w:t>
            </w:r>
          </w:p>
        </w:tc>
      </w:tr>
      <w:tr>
        <w:trPr>
          <w:cantSplit/>
        </w:trPr>
        <w:tc>
          <w:tcPr>
            <w:tcW w:type="dxa" w:w="3389"/>
          </w:tcPr>
          <w:p>
            <w:pPr>
              <w:spacing w:after="0"/>
            </w:pPr>
            <w:r/>
            <w:r>
              <w:rPr>
                <w:rFonts w:ascii="Aptos" w:hAnsi="Aptos"/>
                <w:b w:val="0"/>
                <w:sz w:val="17"/>
              </w:rPr>
              <w:t>Approved section</w:t>
            </w:r>
          </w:p>
        </w:tc>
        <w:tc>
          <w:tcPr>
            <w:tcW w:type="dxa" w:w="3389"/>
          </w:tcPr>
          <w:p>
            <w:pPr>
              <w:spacing w:after="0"/>
            </w:pPr>
            <w:r/>
            <w:r>
              <w:rPr>
                <w:rFonts w:ascii="Aptos" w:hAnsi="Aptos"/>
                <w:b w:val="0"/>
                <w:sz w:val="17"/>
              </w:rPr>
              <w:t>RKST-01_&lt;Short_Title&gt;_Final_v1.0.docx</w:t>
            </w:r>
          </w:p>
        </w:tc>
        <w:tc>
          <w:tcPr>
            <w:tcW w:type="dxa" w:w="3389"/>
          </w:tcPr>
          <w:p>
            <w:pPr>
              <w:spacing w:after="0"/>
            </w:pPr>
            <w:r/>
            <w:r>
              <w:rPr>
                <w:rFonts w:ascii="Aptos" w:hAnsi="Aptos"/>
                <w:b w:val="0"/>
                <w:sz w:val="17"/>
              </w:rPr>
              <w:t>Clean prose and final source apparatus for that section.</w:t>
            </w:r>
          </w:p>
        </w:tc>
      </w:tr>
      <w:tr>
        <w:trPr>
          <w:cantSplit/>
        </w:trPr>
        <w:tc>
          <w:tcPr>
            <w:tcW w:type="dxa" w:w="3389"/>
          </w:tcPr>
          <w:p>
            <w:pPr>
              <w:spacing w:after="0"/>
            </w:pPr>
            <w:r/>
            <w:r>
              <w:rPr>
                <w:rFonts w:ascii="Aptos" w:hAnsi="Aptos"/>
                <w:b w:val="0"/>
                <w:sz w:val="17"/>
              </w:rPr>
              <w:t>Compiled chapter</w:t>
            </w:r>
          </w:p>
        </w:tc>
        <w:tc>
          <w:tcPr>
            <w:tcW w:type="dxa" w:w="3389"/>
          </w:tcPr>
          <w:p>
            <w:pPr>
              <w:spacing w:after="0"/>
            </w:pPr>
            <w:r/>
            <w:r>
              <w:rPr>
                <w:rFonts w:ascii="Aptos" w:hAnsi="Aptos"/>
                <w:b w:val="0"/>
                <w:sz w:val="17"/>
              </w:rPr>
              <w:t>Radhakunda_Story_Complete_v1.0.docx</w:t>
            </w:r>
          </w:p>
        </w:tc>
        <w:tc>
          <w:tcPr>
            <w:tcW w:type="dxa" w:w="3389"/>
          </w:tcPr>
          <w:p>
            <w:pPr>
              <w:spacing w:after="0"/>
            </w:pPr>
            <w:r/>
            <w:r>
              <w:rPr>
                <w:rFonts w:ascii="Aptos" w:hAnsi="Aptos"/>
                <w:b w:val="0"/>
                <w:sz w:val="17"/>
              </w:rPr>
              <w:t>Created only after individual sections are approved; do not overwrite the section files.</w:t>
            </w:r>
          </w:p>
        </w:tc>
      </w:tr>
    </w:tbl>
    <w:tbl>
      <w:tblPr>
        <w:tblW w:type="auto" w:w="0"/>
        <w:jc w:val="center"/>
        <w:tblLayout w:type="autofit"/>
        <w:tblLook w:firstColumn="1" w:firstRow="1" w:lastColumn="0" w:lastRow="0" w:noHBand="0" w:noVBand="1" w:val="04A0"/>
      </w:tblPr>
      <w:tblGrid>
        <w:gridCol w:w="10166"/>
      </w:tblGrid>
      <w:tr>
        <w:tc>
          <w:tcPr>
            <w:tcW w:type="dxa" w:w="10166"/>
            <w:shd w:fill="F4EEE3"/>
          </w:tcPr>
          <w:p>
            <w:pPr>
              <w:spacing w:before="40" w:after="40"/>
            </w:pPr>
            <w:r>
              <w:rPr>
                <w:b/>
                <w:color w:val="762D3A"/>
              </w:rPr>
              <w:t xml:space="preserve">SECTION-FILE RULE  </w:t>
            </w:r>
            <w:r>
              <w:t>Each draft document ends with four internal control blocks: (1) Sources actually used; (2) quotations retained; (3) claims deliberately omitted or qualified; (4) unresolved items carried forward. These blocks can later be removed or converted to notes in the compiled reader-facing edition.</w:t>
            </w:r>
          </w:p>
        </w:tc>
      </w:tr>
    </w:tbl>
    <w:p>
      <w:pPr>
        <w:spacing w:after="0"/>
      </w:pPr>
    </w:p>
    <w:p>
      <w:pPr>
        <w:pStyle w:val="Heading1"/>
      </w:pPr>
      <w:r>
        <w:t>4. Reader-facing voice and citation strategy</w:t>
      </w:r>
    </w:p>
    <w:p>
      <w:pPr>
        <w:spacing w:after="60"/>
        <w:ind w:left="259" w:hanging="173"/>
      </w:pPr>
      <w:r>
        <w:rPr>
          <w:b/>
        </w:rPr>
        <w:t xml:space="preserve">• </w:t>
      </w:r>
      <w:r>
        <w:t>Voice: learned but not academic-jargon-heavy; devotional without turning source claims into pious certainty where the evidence is later or local.</w:t>
      </w:r>
    </w:p>
    <w:p>
      <w:pPr>
        <w:spacing w:after="60"/>
        <w:ind w:left="259" w:hanging="173"/>
      </w:pPr>
      <w:r>
        <w:rPr>
          <w:b/>
        </w:rPr>
        <w:t xml:space="preserve">• </w:t>
      </w:r>
      <w:r>
        <w:t>Narrative paragraphs should normally carry one evidentiary burden at a time. When the source layer changes, signal it naturally: “Raghunātha dāsa writes…,” “Bhakti-ratnākara later remembers…,” “local tradition identifies…,” or “documentary records show…”.</w:t>
      </w:r>
    </w:p>
    <w:p>
      <w:pPr>
        <w:spacing w:after="60"/>
        <w:ind w:left="259" w:hanging="173"/>
      </w:pPr>
      <w:r>
        <w:rPr>
          <w:b/>
        </w:rPr>
        <w:t xml:space="preserve">• </w:t>
      </w:r>
      <w:r>
        <w:t>Use short primary quotations as turning points, not as decoration. The quotation should do something the paraphrase cannot: establish a key phrase, give voice to a Gosvāmī, or mark a decisive theological claim.</w:t>
      </w:r>
    </w:p>
    <w:p>
      <w:pPr>
        <w:spacing w:after="60"/>
        <w:ind w:left="259" w:hanging="173"/>
      </w:pPr>
      <w:r>
        <w:rPr>
          <w:b/>
        </w:rPr>
        <w:t xml:space="preserve">• </w:t>
      </w:r>
      <w:r>
        <w:t>For Śrīmad-Bhāgavatam, Caitanya-caritāmṛta, and Upadeśāmṛta, verify the exact passage against Vedabase during drafting. Project ledgers can guide us to the locus, but publication quotations should be checked directly.</w:t>
      </w:r>
    </w:p>
    <w:p>
      <w:pPr>
        <w:spacing w:after="60"/>
        <w:ind w:left="259" w:hanging="173"/>
      </w:pPr>
      <w:r>
        <w:rPr>
          <w:b/>
        </w:rPr>
        <w:t xml:space="preserve">• </w:t>
      </w:r>
      <w:r>
        <w:t>Use the source files for Sanskrit/Bengali/printed-witness checking wherever available: Mathurā-māhātmya, Stavāvalī, Govinda-līlāmṛta, Kṛṣṇa-bhāvanāmṛta, Gaṇoddeśa-dīpikā, Vraja-bhakti-vilāsa, Sārārtha-darśinī, etc.</w:t>
      </w:r>
    </w:p>
    <w:p>
      <w:pPr>
        <w:spacing w:after="60"/>
        <w:ind w:left="259" w:hanging="173"/>
      </w:pPr>
      <w:r>
        <w:rPr>
          <w:b/>
        </w:rPr>
        <w:t xml:space="preserve">• </w:t>
      </w:r>
      <w:r>
        <w:t>The chapter should not carry A/B/C/D labels in every sentence. The labels belong in the working source notes and final source matrix; prose should signal the difference in plain language.</w:t>
      </w:r>
    </w:p>
    <w:p>
      <w:pPr>
        <w:pStyle w:val="Heading1"/>
      </w:pPr>
      <w:r>
        <w:t>5. Macro-architecture of the Rādhā-kuṇḍa Story</w:t>
      </w:r>
    </w:p>
    <w:p>
      <w:r>
        <w:t>The chapter is organized as four narrative movements rather than as an encyclopedia entry. The research-framework topics are all retained, but rearranged so that the reader first enters the story, then the eternal landscape, then the Gauḍīya historical world, and only then the present pilgrimage landscape.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762D3A"/>
          </w:tcPr>
          <w:p>
            <w:pPr>
              <w:spacing w:after="0"/>
            </w:pPr>
            <w:r/>
            <w:r>
              <w:rPr>
                <w:rFonts w:ascii="Aptos" w:hAnsi="Aptos"/>
                <w:b/>
                <w:color w:val="FFFFFF"/>
                <w:sz w:val="18"/>
              </w:rPr>
              <w:t>Part</w:t>
            </w:r>
          </w:p>
        </w:tc>
        <w:tc>
          <w:tcPr>
            <w:tcW w:type="dxa" w:w="2541"/>
            <w:shd w:fill="762D3A"/>
          </w:tcPr>
          <w:p>
            <w:pPr>
              <w:spacing w:after="0"/>
            </w:pPr>
            <w:r/>
            <w:r>
              <w:rPr>
                <w:rFonts w:ascii="Aptos" w:hAnsi="Aptos"/>
                <w:b/>
                <w:color w:val="FFFFFF"/>
                <w:sz w:val="18"/>
              </w:rPr>
              <w:t>Sections</w:t>
            </w:r>
          </w:p>
        </w:tc>
        <w:tc>
          <w:tcPr>
            <w:tcW w:type="dxa" w:w="2541"/>
            <w:shd w:fill="762D3A"/>
          </w:tcPr>
          <w:p>
            <w:pPr>
              <w:spacing w:after="0"/>
            </w:pPr>
            <w:r/>
            <w:r>
              <w:rPr>
                <w:rFonts w:ascii="Aptos" w:hAnsi="Aptos"/>
                <w:b/>
                <w:color w:val="FFFFFF"/>
                <w:sz w:val="18"/>
              </w:rPr>
              <w:t>Narrative function</w:t>
            </w:r>
          </w:p>
        </w:tc>
        <w:tc>
          <w:tcPr>
            <w:tcW w:type="dxa" w:w="2541"/>
            <w:shd w:fill="762D3A"/>
          </w:tcPr>
          <w:p>
            <w:pPr>
              <w:spacing w:after="0"/>
            </w:pPr>
            <w:r/>
            <w:r>
              <w:rPr>
                <w:rFonts w:ascii="Aptos" w:hAnsi="Aptos"/>
                <w:b/>
                <w:color w:val="FFFFFF"/>
                <w:sz w:val="18"/>
              </w:rPr>
              <w:t>Current readiness</w:t>
            </w:r>
          </w:p>
        </w:tc>
      </w:tr>
      <w:tr>
        <w:trPr>
          <w:cantSplit/>
        </w:trPr>
        <w:tc>
          <w:tcPr>
            <w:tcW w:type="dxa" w:w="2541"/>
          </w:tcPr>
          <w:p>
            <w:pPr>
              <w:spacing w:after="0"/>
            </w:pPr>
            <w:r/>
            <w:r>
              <w:rPr>
                <w:rFonts w:ascii="Aptos" w:hAnsi="Aptos"/>
                <w:b w:val="0"/>
                <w:sz w:val="17"/>
              </w:rPr>
              <w:t>I. Manifestation and Meaning</w:t>
            </w:r>
          </w:p>
        </w:tc>
        <w:tc>
          <w:tcPr>
            <w:tcW w:type="dxa" w:w="2541"/>
          </w:tcPr>
          <w:p>
            <w:pPr>
              <w:spacing w:after="0"/>
            </w:pPr>
            <w:r/>
            <w:r>
              <w:rPr>
                <w:rFonts w:ascii="Aptos" w:hAnsi="Aptos"/>
                <w:b w:val="0"/>
                <w:sz w:val="17"/>
              </w:rPr>
              <w:t>1–4</w:t>
            </w:r>
          </w:p>
        </w:tc>
        <w:tc>
          <w:tcPr>
            <w:tcW w:type="dxa" w:w="2541"/>
          </w:tcPr>
          <w:p>
            <w:pPr>
              <w:spacing w:after="0"/>
            </w:pPr>
            <w:r/>
            <w:r>
              <w:rPr>
                <w:rFonts w:ascii="Aptos" w:hAnsi="Aptos"/>
                <w:b w:val="0"/>
                <w:sz w:val="17"/>
              </w:rPr>
              <w:t>Place the reader at the waters; narrate Ariṣṭāsura and the manifestation; let Rūpa and Raghunātha interpret the event.</w:t>
            </w:r>
          </w:p>
        </w:tc>
        <w:tc>
          <w:tcPr>
            <w:tcW w:type="dxa" w:w="2541"/>
          </w:tcPr>
          <w:p>
            <w:pPr>
              <w:spacing w:after="0"/>
            </w:pPr>
            <w:r/>
            <w:r>
              <w:rPr>
                <w:rFonts w:ascii="Aptos" w:hAnsi="Aptos"/>
                <w:b w:val="0"/>
                <w:sz w:val="17"/>
              </w:rPr>
              <w:t>READY</w:t>
            </w:r>
          </w:p>
        </w:tc>
      </w:tr>
      <w:tr>
        <w:trPr>
          <w:cantSplit/>
        </w:trPr>
        <w:tc>
          <w:tcPr>
            <w:tcW w:type="dxa" w:w="2541"/>
          </w:tcPr>
          <w:p>
            <w:pPr>
              <w:spacing w:after="0"/>
            </w:pPr>
            <w:r/>
            <w:r>
              <w:rPr>
                <w:rFonts w:ascii="Aptos" w:hAnsi="Aptos"/>
                <w:b w:val="0"/>
                <w:sz w:val="17"/>
              </w:rPr>
              <w:t>II. The Eternal Rādhā-kuṇḍa</w:t>
            </w:r>
          </w:p>
        </w:tc>
        <w:tc>
          <w:tcPr>
            <w:tcW w:type="dxa" w:w="2541"/>
          </w:tcPr>
          <w:p>
            <w:pPr>
              <w:spacing w:after="0"/>
            </w:pPr>
            <w:r/>
            <w:r>
              <w:rPr>
                <w:rFonts w:ascii="Aptos" w:hAnsi="Aptos"/>
                <w:b w:val="0"/>
                <w:sz w:val="17"/>
              </w:rPr>
              <w:t>5–7</w:t>
            </w:r>
          </w:p>
        </w:tc>
        <w:tc>
          <w:tcPr>
            <w:tcW w:type="dxa" w:w="2541"/>
          </w:tcPr>
          <w:p>
            <w:pPr>
              <w:spacing w:after="0"/>
            </w:pPr>
            <w:r/>
            <w:r>
              <w:rPr>
                <w:rFonts w:ascii="Aptos" w:hAnsi="Aptos"/>
                <w:b w:val="0"/>
                <w:sz w:val="17"/>
              </w:rPr>
              <w:t>Reveal the nitya-līlā architecture, the moving midday route, and the people/service ecology.</w:t>
            </w:r>
          </w:p>
        </w:tc>
        <w:tc>
          <w:tcPr>
            <w:tcW w:type="dxa" w:w="2541"/>
          </w:tcPr>
          <w:p>
            <w:pPr>
              <w:spacing w:after="0"/>
            </w:pPr>
            <w:r/>
            <w:r>
              <w:rPr>
                <w:rFonts w:ascii="Aptos" w:hAnsi="Aptos"/>
                <w:b w:val="0"/>
                <w:sz w:val="17"/>
              </w:rPr>
              <w:t>READY</w:t>
            </w:r>
          </w:p>
        </w:tc>
      </w:tr>
      <w:tr>
        <w:trPr>
          <w:cantSplit/>
        </w:trPr>
        <w:tc>
          <w:tcPr>
            <w:tcW w:type="dxa" w:w="2541"/>
          </w:tcPr>
          <w:p>
            <w:pPr>
              <w:spacing w:after="0"/>
            </w:pPr>
            <w:r/>
            <w:r>
              <w:rPr>
                <w:rFonts w:ascii="Aptos" w:hAnsi="Aptos"/>
                <w:b w:val="0"/>
                <w:sz w:val="17"/>
              </w:rPr>
              <w:t>III. Recognition, Residence, and Community</w:t>
            </w:r>
          </w:p>
        </w:tc>
        <w:tc>
          <w:tcPr>
            <w:tcW w:type="dxa" w:w="2541"/>
          </w:tcPr>
          <w:p>
            <w:pPr>
              <w:spacing w:after="0"/>
            </w:pPr>
            <w:r/>
            <w:r>
              <w:rPr>
                <w:rFonts w:ascii="Aptos" w:hAnsi="Aptos"/>
                <w:b w:val="0"/>
                <w:sz w:val="17"/>
              </w:rPr>
              <w:t>8–11</w:t>
            </w:r>
          </w:p>
        </w:tc>
        <w:tc>
          <w:tcPr>
            <w:tcW w:type="dxa" w:w="2541"/>
          </w:tcPr>
          <w:p>
            <w:pPr>
              <w:spacing w:after="0"/>
            </w:pPr>
            <w:r/>
            <w:r>
              <w:rPr>
                <w:rFonts w:ascii="Aptos" w:hAnsi="Aptos"/>
                <w:b w:val="0"/>
                <w:sz w:val="17"/>
              </w:rPr>
              <w:t>Move into historical time: obscurity, Mahāprabhu, Raghunātha, and the early Gauḍīya sacred network.</w:t>
            </w:r>
          </w:p>
        </w:tc>
        <w:tc>
          <w:tcPr>
            <w:tcW w:type="dxa" w:w="2541"/>
          </w:tcPr>
          <w:p>
            <w:pPr>
              <w:spacing w:after="0"/>
            </w:pPr>
            <w:r/>
            <w:r>
              <w:rPr>
                <w:rFonts w:ascii="Aptos" w:hAnsi="Aptos"/>
                <w:b w:val="0"/>
                <w:sz w:val="17"/>
              </w:rPr>
              <w:t>READY; Jāhnavā direct Bengali quotation still gated</w:t>
            </w:r>
          </w:p>
        </w:tc>
      </w:tr>
      <w:tr>
        <w:trPr>
          <w:cantSplit/>
        </w:trPr>
        <w:tc>
          <w:tcPr>
            <w:tcW w:type="dxa" w:w="2541"/>
          </w:tcPr>
          <w:p>
            <w:pPr>
              <w:spacing w:after="0"/>
            </w:pPr>
            <w:r/>
            <w:r>
              <w:rPr>
                <w:rFonts w:ascii="Aptos" w:hAnsi="Aptos"/>
                <w:b w:val="0"/>
                <w:sz w:val="17"/>
              </w:rPr>
              <w:t>IV. Physical History and Pilgrim Encounter</w:t>
            </w:r>
          </w:p>
        </w:tc>
        <w:tc>
          <w:tcPr>
            <w:tcW w:type="dxa" w:w="2541"/>
          </w:tcPr>
          <w:p>
            <w:pPr>
              <w:spacing w:after="0"/>
            </w:pPr>
            <w:r/>
            <w:r>
              <w:rPr>
                <w:rFonts w:ascii="Aptos" w:hAnsi="Aptos"/>
                <w:b w:val="0"/>
                <w:sz w:val="17"/>
              </w:rPr>
              <w:t>12–14</w:t>
            </w:r>
          </w:p>
        </w:tc>
        <w:tc>
          <w:tcPr>
            <w:tcW w:type="dxa" w:w="2541"/>
          </w:tcPr>
          <w:p>
            <w:pPr>
              <w:spacing w:after="0"/>
            </w:pPr>
            <w:r/>
            <w:r>
              <w:rPr>
                <w:rFonts w:ascii="Aptos" w:hAnsi="Aptos"/>
                <w:b w:val="0"/>
                <w:sz w:val="17"/>
              </w:rPr>
              <w:t>Document transformation of village/tanks; present today’s layered sacred landscape; conclude devotionally.</w:t>
            </w:r>
          </w:p>
        </w:tc>
        <w:tc>
          <w:tcPr>
            <w:tcW w:type="dxa" w:w="2541"/>
          </w:tcPr>
          <w:p>
            <w:pPr>
              <w:spacing w:after="0"/>
            </w:pPr>
            <w:r/>
            <w:r>
              <w:rPr>
                <w:rFonts w:ascii="Aptos" w:hAnsi="Aptos"/>
                <w:b w:val="0"/>
                <w:sz w:val="17"/>
              </w:rPr>
              <w:t>12 PARTIAL; 13 FIELD-DEPENDENT; 14 READY after core sections</w:t>
            </w:r>
          </w:p>
        </w:tc>
      </w:tr>
    </w:tbl>
    <w:p>
      <w:pPr>
        <w:pStyle w:val="Heading1"/>
      </w:pPr>
      <w:r>
        <w:t>6. Section-by-section writing plan</w:t>
      </w:r>
    </w:p>
    <w:p>
      <w:pPr>
        <w:pStyle w:val="Heading2"/>
      </w:pPr>
      <w:r>
        <w:t>1. At the Foot of Govardhana: The Two Waters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Open in the present tense at Rādhā-kuṇḍa/Śyāma-kuṇḍa, orient the reader without turning the opening into a modern travel guide, and establish why these waters matter before telling how they appeared.</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1,000–1,400 words</w:t>
            </w:r>
          </w:p>
        </w:tc>
      </w:tr>
    </w:tbl>
    <w:p>
      <w:r>
        <w:rPr>
          <w:b/>
          <w:color w:val="762D3A"/>
        </w:rPr>
        <w:t xml:space="preserve">Narrative movement. </w:t>
      </w:r>
      <w:r>
        <w:t>Begin with the visual simplicity of two adjoining waters near Govardhana, then widen immediately to the Gosvāmī hierarchy of sacred place: Mathurā → Vṛndāvana → Govardhana → Rādhā-kuṇḍa. Introduce the naming problem early: the companion pond is commonly called Śyāma-kuṇḍa today, while early Gauḍīya sources frequently use Ariṣṭa-kuṇḍa, Ariṣṭa-saras, or Kṛṣṇa-kuṇḍa.</w:t>
      </w:r>
    </w:p>
    <w:p>
      <w:r>
        <w:rPr>
          <w:b/>
          <w:color w:val="762D3A"/>
        </w:rPr>
        <w:t xml:space="preserve">Controlling sources. </w:t>
      </w:r>
      <w:r>
        <w:t>Rūpa Gosvāmī, Upadeśāmṛta 9–11 (verify on Vedabase); Mathurā-māhātmya 418–423; Raghunātha dāsa, Rādhā-kuṇḍāṣṭaka; master dossier §§4–6, 22; later physical orientation only from C/D sources when clearly signaled.</w:t>
      </w:r>
    </w:p>
    <w:p>
      <w:r>
        <w:rPr>
          <w:b/>
          <w:color w:val="762D3A"/>
        </w:rPr>
        <w:t xml:space="preserve">Evidence-layer handling. </w:t>
      </w:r>
      <w:r>
        <w:t>A-level meaning should dominate. Present-day description is orientation only and should not be allowed to control the ancient textual map.</w:t>
      </w:r>
    </w:p>
    <w:p>
      <w:r>
        <w:rPr>
          <w:b/>
          <w:color w:val="762D3A"/>
        </w:rPr>
        <w:t xml:space="preserve">Quotation anchors. </w:t>
      </w:r>
      <w:r>
        <w:t>Upadeśāmṛta 9–11 as the hierarchy anchor; Mathurā-māhātmya 421, yathā rādhā priyā viṣṇos / tasyāḥ kuṇḍaṁ priyaṁ tathā; optional Vilāpa-kusumāñjali 97 later echoed in the conclusion.</w:t>
      </w:r>
    </w:p>
    <w:p>
      <w:r>
        <w:rPr>
          <w:b/>
          <w:color w:val="762D3A"/>
        </w:rPr>
        <w:t xml:space="preserve">Do not do. </w:t>
      </w:r>
      <w:r>
        <w:t>Do not front-load ghāṭ names, temple inventories, or uncertain modern micro-localizations. Do not call the companion pond “Śyāma-kuṇḍa” inside quotations from early sources that say Ariṣṭa-kuṇḍa/Kṛṣṇa-kuṇḍa.</w:t>
      </w:r>
    </w:p>
    <w:p>
      <w:pPr>
        <w:pStyle w:val="Heading2"/>
      </w:pPr>
      <w:r>
        <w:t>2. Ariṣṭāsura: The Bhāgavatam Foundation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Give the reader the canonical event that makes the manifestation story intelligible while marking the exact boundary of the Bhāgavatam root narrative.</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900–1,200 words</w:t>
            </w:r>
          </w:p>
        </w:tc>
      </w:tr>
    </w:tbl>
    <w:p>
      <w:r>
        <w:rPr>
          <w:b/>
          <w:color w:val="762D3A"/>
        </w:rPr>
        <w:t xml:space="preserve">Narrative movement. </w:t>
      </w:r>
      <w:r>
        <w:t>Narrate Ariṣṭa’s bull-form attack, the terror in Vraja, Kṛṣṇa’s confrontation and killing of the demon. End with an explicit but elegant transition: the Bhāgavatam does not itself continue into the twin-kuṇḍa manifestation; that fuller episode is preserved in Gauḍīya commentarial transmission.</w:t>
      </w:r>
    </w:p>
    <w:p>
      <w:r>
        <w:rPr>
          <w:b/>
          <w:color w:val="762D3A"/>
        </w:rPr>
        <w:t xml:space="preserve">Controlling sources. </w:t>
      </w:r>
      <w:r>
        <w:t>Śrīmad-Bhāgavatam 10.36 (verify direct text on Vedabase); Sārārtha-darśinī on 10.36.16; reconstructed RS-01 §§3–4; master dossier §4.1–4.2.</w:t>
      </w:r>
    </w:p>
    <w:p>
      <w:r>
        <w:rPr>
          <w:b/>
          <w:color w:val="762D3A"/>
        </w:rPr>
        <w:t xml:space="preserve">Evidence-layer handling. </w:t>
      </w:r>
      <w:r>
        <w:t>A = Bhāgavatam root event. The transition to the twenty-verse unit must explicitly identify a new textual witness.</w:t>
      </w:r>
    </w:p>
    <w:p>
      <w:r>
        <w:rPr>
          <w:b/>
          <w:color w:val="762D3A"/>
        </w:rPr>
        <w:t xml:space="preserve">Quotation anchors. </w:t>
      </w:r>
      <w:r>
        <w:t>A short Bhāgavatam passage describing Ariṣṭa’s form or defeat; no need for a long quotation. The source-critical sentence separating root text from later transmitted material is essential.</w:t>
      </w:r>
    </w:p>
    <w:p>
      <w:r>
        <w:rPr>
          <w:b/>
          <w:color w:val="762D3A"/>
        </w:rPr>
        <w:t xml:space="preserve">Do not do. </w:t>
      </w:r>
      <w:r>
        <w:t>Do not insert Rādhā’s accusation, the heel-strike, or the tīrthas into the Bhāgavatam narration. Do not imply that omission equals rejection or contradiction.</w:t>
      </w:r>
    </w:p>
    <w:p>
      <w:pPr>
        <w:pStyle w:val="Heading2"/>
      </w:pPr>
      <w:r>
        <w:t>3. The Manifestation of Rādhā-kuṇḍa and Kṛṣṇa-kuṇḍa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Tell the twenty-verse manifestation account as the narrative heart of the chapter, with enough detail to let the līlā unfold continuously rather than as a synopsis.</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2,000–3,000 words</w:t>
            </w:r>
          </w:p>
        </w:tc>
      </w:tr>
    </w:tbl>
    <w:p>
      <w:r>
        <w:rPr>
          <w:b/>
          <w:color w:val="762D3A"/>
        </w:rPr>
        <w:t xml:space="preserve">Narrative movement. </w:t>
      </w:r>
      <w:r>
        <w:t>Preserve the established eight movements: playful dharma challenge (1–2); Kṛṣṇa manifests His pond (3–6); Rādhā and the sakhīs manifest Hers (7–10); the tīrthas petition (11–16); waters join (17); Kṛṣṇa’s declaration (18); Rādhā’s reciprocal declaration (19); rāsa that night (20). Let dialogue, action, and sequence carry the theology before explaining it.</w:t>
      </w:r>
    </w:p>
    <w:p>
      <w:r>
        <w:rPr>
          <w:b/>
          <w:color w:val="762D3A"/>
        </w:rPr>
        <w:t xml:space="preserve">Controlling sources. </w:t>
      </w:r>
      <w:r>
        <w:t>Viśvanātha Cakravartī, Sārārtha-darśinī in connection with ŚB 10.36.16; reconstructed RS-01; Rādhā-kuṇḍāṣṭaka 1 as independent Gosvāmī reception; RS-02 for interpretation boundaries.</w:t>
      </w:r>
    </w:p>
    <w:p>
      <w:r>
        <w:rPr>
          <w:b/>
          <w:color w:val="762D3A"/>
        </w:rPr>
        <w:t xml:space="preserve">Evidence-layer handling. </w:t>
      </w:r>
      <w:r>
        <w:t>A/Gosvāmī transmission controls the narrative. The exact Purāṇic provenance remains unresolved and should be handled in a note, not made into a dramatic interruption.</w:t>
      </w:r>
    </w:p>
    <w:p>
      <w:r>
        <w:rPr>
          <w:b/>
          <w:color w:val="762D3A"/>
        </w:rPr>
        <w:t xml:space="preserve">Quotation anchors. </w:t>
      </w:r>
      <w:r>
        <w:t>Rādhā-kuṇḍāṣṭaka 1 (narma-dharmokti-raṅgaiḥ; sva-hastena); one or two key lines from the twenty-verse unit after direct witness checking; later declarations may be paraphrased if the Sanskrit witness is not publication-ready.</w:t>
      </w:r>
    </w:p>
    <w:p>
      <w:r>
        <w:rPr>
          <w:b/>
          <w:color w:val="762D3A"/>
        </w:rPr>
        <w:t xml:space="preserve">Do not do. </w:t>
      </w:r>
      <w:r>
        <w:t>Do not say Kṛṣṇa was ontologically impure. Do not say the sakhīs dug with bangles unless a separate checked source is introduced. Do not assign the twenty-verse unit to a named Purāṇa until its provenance is independently established. Preserve reciprocity: Rādhā also blesses the pond of Ariṣṭa’s subduer.</w:t>
      </w:r>
    </w:p>
    <w:p>
      <w:pPr>
        <w:pStyle w:val="Heading2"/>
      </w:pPr>
      <w:r>
        <w:t>4. What the Manifestation Reveals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After the story has been experienced, interpret its architecture through Rūpa and Raghunātha rather than inserting commentary into every moment of Section 3.</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1,500–2,000 words</w:t>
            </w:r>
          </w:p>
        </w:tc>
      </w:tr>
    </w:tbl>
    <w:p>
      <w:r>
        <w:rPr>
          <w:b/>
          <w:color w:val="762D3A"/>
        </w:rPr>
        <w:t xml:space="preserve">Narrative movement. </w:t>
      </w:r>
      <w:r>
        <w:t>Unfold the theological movement: playful dharma speech → Kṛṣṇa’s sovereignty over tīrthas → Rādhā’s independent manifestation → the tīrthas’ dependence on Her grace → joining without loss of distinct identity → reciprocal dearness → eternal play → devotional participation through bathing, service, remembrance, residence, and Rādhā-dāsya.</w:t>
      </w:r>
    </w:p>
    <w:p>
      <w:r>
        <w:rPr>
          <w:b/>
          <w:color w:val="762D3A"/>
        </w:rPr>
        <w:t xml:space="preserve">Controlling sources. </w:t>
      </w:r>
      <w:r>
        <w:t>RS-02; Rādhā-kuṇḍāṣṭaka 1–8; Mathurā-māhātmya 418–423; Upadeśāmṛta 9–11 (verify Vedabase); Caitanya-caritāmṛta Madhya 18.7–12; Govinda-līlāmṛta and Kṛṣṇa-bhāvanāmṛta only where used as cross-text confirmation of nitya-līlā.</w:t>
      </w:r>
    </w:p>
    <w:p>
      <w:r>
        <w:rPr>
          <w:b/>
          <w:color w:val="762D3A"/>
        </w:rPr>
        <w:t xml:space="preserve">Evidence-layer handling. </w:t>
      </w:r>
      <w:r>
        <w:t>This is the most interpretive section; every major interpretive claim should either rest on direct wording or be marked in notes as project synthesis.</w:t>
      </w:r>
    </w:p>
    <w:p>
      <w:r>
        <w:rPr>
          <w:b/>
          <w:color w:val="762D3A"/>
        </w:rPr>
        <w:t xml:space="preserve">Quotation anchors. </w:t>
      </w:r>
      <w:r>
        <w:t>Rādhā-kuṇḍāṣṭaka 3 (prasāda/kaṭākṣa and Kṛṣṇa’s bathing/service); MM 421; Upadeśāmṛta 11; a compact quotation showing anudinam/nitya if needed.</w:t>
      </w:r>
    </w:p>
    <w:p>
      <w:r>
        <w:rPr>
          <w:b/>
          <w:color w:val="762D3A"/>
        </w:rPr>
        <w:t xml:space="preserve">Do not do. </w:t>
      </w:r>
      <w:r>
        <w:t>Do not turn synthesis terms such as “union without erasure” into quotations. Do not portray the story as a mundane competition in which one pond simply “wins.” Do not reduce bathing to mechanical merit detached from prema and sevā.</w:t>
      </w:r>
    </w:p>
    <w:p>
      <w:pPr>
        <w:pStyle w:val="Heading2"/>
      </w:pPr>
      <w:r>
        <w:t>5. The Eternal Landscape of Rādhā-kuṇḍa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Shift from origin story to nitya-līlā geography: what kind of place do the Gosvāmī texts say Rādhā-kuṇḍa eternally is?</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2,000–2,600 words</w:t>
            </w:r>
          </w:p>
        </w:tc>
      </w:tr>
    </w:tbl>
    <w:p>
      <w:r>
        <w:rPr>
          <w:b/>
          <w:color w:val="762D3A"/>
        </w:rPr>
        <w:t xml:space="preserve">Narrative movement. </w:t>
      </w:r>
      <w:r>
        <w:t>Walk the reader around the idealized sacred architecture: jeweled steps, four cardinal bathing approaches, four directional swings, gardens and service infrastructure, the saṅgama and setu, the eight directional sakhī kuñjas, Lalitā’s elaborate northern micro-geography, Anaṅga Mañjarī’s central lotus dwelling, and the distinct priya-narma-sakhā kuñja system around Ariṣṭa/Śyāma-kuṇḍa.</w:t>
      </w:r>
    </w:p>
    <w:p>
      <w:r>
        <w:rPr>
          <w:b/>
          <w:color w:val="762D3A"/>
        </w:rPr>
        <w:t xml:space="preserve">Controlling sources. </w:t>
      </w:r>
      <w:r>
        <w:t>Govinda-līlāmṛta 7.1–117 (searchable mūla + commentary + printed first-volume witness); RK-02 §§2–5; Vraja-rīti-cintāmaṇi as cross-text idealized geography; Rādhā-kuṇḍāṣṭaka 6–8.</w:t>
      </w:r>
    </w:p>
    <w:p>
      <w:r>
        <w:rPr>
          <w:b/>
          <w:color w:val="762D3A"/>
        </w:rPr>
        <w:t xml:space="preserve">Evidence-layer handling. </w:t>
      </w:r>
      <w:r>
        <w:t>Almost entirely A-level Gosvāmī textual geography. Modern comparison should be reserved for Section 13.</w:t>
      </w:r>
    </w:p>
    <w:p>
      <w:r>
        <w:rPr>
          <w:b/>
          <w:color w:val="762D3A"/>
        </w:rPr>
        <w:t xml:space="preserve">Quotation anchors. </w:t>
      </w:r>
      <w:r>
        <w:t>Govinda-līlāmṛta 7.1; 7.6 (saṅgama/setu); 7.27 (eight-direction principle); 7.100–101 (Anaṅga Mañjarī center) if not overloading the section.</w:t>
      </w:r>
    </w:p>
    <w:p>
      <w:r>
        <w:rPr>
          <w:b/>
          <w:color w:val="762D3A"/>
        </w:rPr>
        <w:t xml:space="preserve">Do not do. </w:t>
      </w:r>
      <w:r>
        <w:t>Do not convert tīrtha into a specific modern masonry ghāṭ. Do not draw present property wedges from the eternal compass. Do not equate the GL setu automatically with the present causeway footprint.</w:t>
      </w:r>
    </w:p>
    <w:p>
      <w:pPr>
        <w:pStyle w:val="Heading2"/>
      </w:pPr>
      <w:r>
        <w:t>6. A Midday Journey to Rādhā-kuṇḍa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Make the nitya-līlā landscape move. The reader should see Rādhā-kuṇḍa not as a static diagram but as a meeting place reached through routes, pretexts, companions, seasonal environments, play, service, and departure.</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2,000–2,800 words</w:t>
            </w:r>
          </w:p>
        </w:tc>
      </w:tr>
    </w:tbl>
    <w:p>
      <w:r>
        <w:rPr>
          <w:b/>
          <w:color w:val="762D3A"/>
        </w:rPr>
        <w:t xml:space="preserve">Narrative movement. </w:t>
      </w:r>
      <w:r>
        <w:t>Begin with the appointment to come chadmanā, “by a pretext,” to Her own kuṇḍa; follow the separate public worlds and approaches of Rādhā and Kṛṣṇa; first sight and recognition; selected secluded grove moments; six-season service geography; swing; return to twin-kuṇḍa water-play; food/pavilion/service; selected dice episode; Sūrya-pūjā; Rādhā’s homeward departure and Kṛṣṇa’s return to the cowherd companions.</w:t>
      </w:r>
    </w:p>
    <w:p>
      <w:r>
        <w:rPr>
          <w:b/>
          <w:color w:val="762D3A"/>
        </w:rPr>
        <w:t xml:space="preserve">Controlling sources. </w:t>
      </w:r>
      <w:r>
        <w:t>RK-02 §§6–10; Govinda-līlāmṛta 5.40, 7–8, 15, 18–19; Kṛṣṇa-bhāvanāmṛta chapters 8–15 with printed Sanskrit/commentary verification; Vraja-rīti-cintāmaṇi for idealized continuity only.</w:t>
      </w:r>
    </w:p>
    <w:p>
      <w:r>
        <w:rPr>
          <w:b/>
          <w:color w:val="762D3A"/>
        </w:rPr>
        <w:t xml:space="preserve">Evidence-layer handling. </w:t>
      </w:r>
      <w:r>
        <w:t>A-level literary geography; cross-text differences should be presented as complementary visions, not “errors” to reconcile.</w:t>
      </w:r>
    </w:p>
    <w:p>
      <w:r>
        <w:rPr>
          <w:b/>
          <w:color w:val="762D3A"/>
        </w:rPr>
        <w:t xml:space="preserve">Quotation anchors. </w:t>
      </w:r>
      <w:r>
        <w:t>GL 5.40 (āgantavyaṁ… chadmanāśu sva-kuṇḍam); a short water-play or departure quotation; avoid accumulating erotic descriptive passages when narrative summary is enough.</w:t>
      </w:r>
    </w:p>
    <w:p>
      <w:r>
        <w:rPr>
          <w:b/>
          <w:color w:val="762D3A"/>
        </w:rPr>
        <w:t xml:space="preserve">Do not do. </w:t>
      </w:r>
      <w:r>
        <w:t>Do not fuse GL and KBh into one exact itinerary. Do not say Kṛṣṇa goes directly home at the end of madhyāhna; the research correction is that He first returns to His cowherd companions. Do not map the six seasons as modern cadastral sectors.</w:t>
      </w:r>
    </w:p>
    <w:p>
      <w:pPr>
        <w:pStyle w:val="Heading2"/>
      </w:pPr>
      <w:r>
        <w:t>7. The People Who Make the Landscape Live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Introduce the social and service ecology after the reader already knows the landscape and its movement. People should appear as actors in service, not as a biographical catalogue.</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2,000–2,500 words</w:t>
            </w:r>
          </w:p>
        </w:tc>
      </w:tr>
    </w:tbl>
    <w:p>
      <w:r>
        <w:rPr>
          <w:b/>
          <w:color w:val="762D3A"/>
        </w:rPr>
        <w:t xml:space="preserve">Narrative movement. </w:t>
      </w:r>
      <w:r>
        <w:t>Organize by function: Lalitā as supreme superintendent; Viśākhā as interpreter/intelligent messenger; Campakalatā’s resource and culinary service; Citrā’s signs/rendezvous strategy; Tuṅgavidyā’s music/science; Indulekhā’s ornament/secret-service skills; Raṅgadevī and Sudevī; mañjarī/kiṅkarī service; Vṛndā and Nandīmukhī; priya-narma-sakhās such as Subala and Madhumaṅgala; household/social-cover world including Jatilā, Kuṭilā, and Abhimanyu/pati-manya.</w:t>
      </w:r>
    </w:p>
    <w:p>
      <w:r>
        <w:rPr>
          <w:b/>
          <w:color w:val="762D3A"/>
        </w:rPr>
        <w:t xml:space="preserve">Controlling sources. </w:t>
      </w:r>
      <w:r>
        <w:t>RK-03; Rādhā-Kṛṣṇa-gaṇoddeśa-dīpikā especially 76–79, 123–127, 129ff., 165ff., Laghu-bhāga sakhā sections; Govinda-līlāmṛta for Rādhā-kuṇḍa-specific placement and actions; KBh for service scenes.</w:t>
      </w:r>
    </w:p>
    <w:p>
      <w:r>
        <w:rPr>
          <w:b/>
          <w:color w:val="762D3A"/>
        </w:rPr>
        <w:t xml:space="preserve">Evidence-layer handling. </w:t>
      </w:r>
      <w:r>
        <w:t>A-level identity/service data; cross-text localization should be identified as explicit or interpretive in the source notes.</w:t>
      </w:r>
    </w:p>
    <w:p>
      <w:r>
        <w:rPr>
          <w:b/>
          <w:color w:val="762D3A"/>
        </w:rPr>
        <w:t xml:space="preserve">Quotation anchors. </w:t>
      </w:r>
      <w:r>
        <w:t>GD 79 (aṣṭa-sakhī names); GD 123–127 (general service charter); Lalitā’s paramādhyakṣatāṁ line (GD 129); optionally preserve pati-manya in a note where Abhimanyu is introduced.</w:t>
      </w:r>
    </w:p>
    <w:p>
      <w:r>
        <w:rPr>
          <w:b/>
          <w:color w:val="762D3A"/>
        </w:rPr>
        <w:t xml:space="preserve">Do not do. </w:t>
      </w:r>
      <w:r>
        <w:t>Do not assume every service trait is explicitly localized to a named Rādhā-kuṇḍa grove. Do not flatten mañjarīs, sakhīs, dūtīs, and priya-narma-sakhās into one category. Do not write an unqualified “Rādhā’s husband Abhimanyu” when Rūpa’s wording is pati-manya.</w:t>
      </w:r>
    </w:p>
    <w:p>
      <w:pPr>
        <w:pStyle w:val="Heading2"/>
      </w:pPr>
      <w:r>
        <w:t>8. When the Sacred Waters Became Hidden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Create the historical hinge between eternal/līlā geography and Mahāprabhu’s visit without pretending we possess a continuous archaeological narrative for the intervening centuries.</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700–1,000 words</w:t>
            </w:r>
          </w:p>
        </w:tc>
      </w:tr>
    </w:tbl>
    <w:p>
      <w:r>
        <w:rPr>
          <w:b/>
          <w:color w:val="762D3A"/>
        </w:rPr>
        <w:t xml:space="preserve">Narrative movement. </w:t>
      </w:r>
      <w:r>
        <w:t>Slow the narrative down. Explain only what can safely be said: the later Caitanya-caritāmṛta scene presents an inhabited Āriṭ-grāma where the tīrtha’s public identity is obscured; the waters are visible only as slight water in two paddy fields. Use this as a transition, not as a speculative history of how or exactly when the kuṇḍas “disappeared.”</w:t>
      </w:r>
    </w:p>
    <w:p>
      <w:r>
        <w:rPr>
          <w:b/>
          <w:color w:val="762D3A"/>
        </w:rPr>
        <w:t xml:space="preserve">Controlling sources. </w:t>
      </w:r>
      <w:r>
        <w:t>RS-03 §§1–5; Caitanya-caritāmṛta Madhya 18.3–5 (verify Vedabase); RK-04 §2; D sources only if they genuinely illuminate settlement context without filling the undocumented gap.</w:t>
      </w:r>
    </w:p>
    <w:p>
      <w:r>
        <w:rPr>
          <w:b/>
          <w:color w:val="762D3A"/>
        </w:rPr>
        <w:t xml:space="preserve">Evidence-layer handling. </w:t>
      </w:r>
      <w:r>
        <w:t>A-level Caitanya-caritāmṛta controls the scene; absence of earlier historical evidence should remain absence.</w:t>
      </w:r>
    </w:p>
    <w:p>
      <w:r>
        <w:rPr>
          <w:b/>
          <w:color w:val="762D3A"/>
        </w:rPr>
        <w:t xml:space="preserve">Quotation anchors. </w:t>
      </w:r>
      <w:r>
        <w:t>CC Madhya 18.5: tīrtha ‘lupta’ … dui dhānya-kṣetre alpa-jale kailā snāna.</w:t>
      </w:r>
    </w:p>
    <w:p>
      <w:r>
        <w:rPr>
          <w:b/>
          <w:color w:val="762D3A"/>
        </w:rPr>
        <w:t xml:space="preserve">Do not do. </w:t>
      </w:r>
      <w:r>
        <w:t>Do not invent a destruction event, a date of disappearance, abandonment of the village, or a continuous decline narrative. “Lupta” should be rendered as lost/obscured/no longer recognized as the tīrtha, not “ceased to exist.”</w:t>
      </w:r>
    </w:p>
    <w:p>
      <w:pPr>
        <w:pStyle w:val="Heading2"/>
      </w:pPr>
      <w:r>
        <w:t>9. Mahāprabhu at Āriṭ-grāma: Recognition and Revelation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Tell Mahāprabhu’s visit as a complete pilgrimage episode, one of the chapter’s major dramatic scenes.</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1,800–2,400 words</w:t>
            </w:r>
          </w:p>
        </w:tc>
      </w:tr>
    </w:tbl>
    <w:p>
      <w:r>
        <w:rPr>
          <w:b/>
          <w:color w:val="762D3A"/>
        </w:rPr>
        <w:t xml:space="preserve">Narrative movement. </w:t>
      </w:r>
      <w:r>
        <w:t>Preserve RS-03’s nine movements: ecstatic arrival; inquiry; recognition and bath; villagers’ astonishment; praise of dearness; nitya-līlā and fruit; remembrance and dance; earth/tilaka and onward memory; Govardhana handoff. Let the contrast between alpa-jala and the revealed nitya-līlā fullness govern the scene.</w:t>
      </w:r>
    </w:p>
    <w:p>
      <w:r>
        <w:rPr>
          <w:b/>
          <w:color w:val="762D3A"/>
        </w:rPr>
        <w:t xml:space="preserve">Controlling sources. </w:t>
      </w:r>
      <w:r>
        <w:t>Caitanya-caritāmṛta Madhya 18.3–15 (verify direct Bengali and translation on Vedabase); RS-03; RK-04 §2; MM 421–422 and GL 7.102 for the embedded authority structure in CC.</w:t>
      </w:r>
    </w:p>
    <w:p>
      <w:r>
        <w:rPr>
          <w:b/>
          <w:color w:val="762D3A"/>
        </w:rPr>
        <w:t xml:space="preserve">Evidence-layer handling. </w:t>
      </w:r>
      <w:r>
        <w:t>A-level Caitanya-līlā dominates. Later baithak/tree/ghāṭ memorials do not belong inside the primary scene unless clearly separated.</w:t>
      </w:r>
    </w:p>
    <w:p>
      <w:r>
        <w:rPr>
          <w:b/>
          <w:color w:val="762D3A"/>
        </w:rPr>
        <w:t xml:space="preserve">Quotation anchors. </w:t>
      </w:r>
      <w:r>
        <w:t>CC 18.5 (lupta / alpa-jala); CC 18.14 (kuṇḍera mṛttikā… tilaka); one praise verse/line from 18.7–12. “Visible littleness, revealed fullness” may be used only as our synthesis, not as a quotation.</w:t>
      </w:r>
    </w:p>
    <w:p>
      <w:r>
        <w:rPr>
          <w:b/>
          <w:color w:val="762D3A"/>
        </w:rPr>
        <w:t xml:space="preserve">Do not do. </w:t>
      </w:r>
      <w:r>
        <w:t>Do not say Mahāprabhu excavated, created, enlarged, embanked, or built the present kuṇḍas. Use “recognized” or “reidentified”; “rediscovered” only if explicitly explained in that sense. Do not say the village itself was unknown.</w:t>
      </w:r>
    </w:p>
    <w:p>
      <w:pPr>
        <w:pStyle w:val="Heading2"/>
      </w:pPr>
      <w:r>
        <w:t>10. Raghunātha dāsa Comes to Stay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Move from Mahāprabhu’s revelatory visit to a life lived at the kuṇḍa: residence, longing, renunciation, restoration, and the emerging resident devotional landscape.</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2,000–2,700 words</w:t>
            </w:r>
          </w:p>
        </w:tc>
      </w:tr>
    </w:tbl>
    <w:p>
      <w:r>
        <w:rPr>
          <w:b/>
          <w:color w:val="762D3A"/>
        </w:rPr>
        <w:t xml:space="preserve">Narrative movement. </w:t>
      </w:r>
      <w:r>
        <w:t>Open with Raghunātha’s own longing for residence. Then move to B-level memory of the kuṇḍas’ restoration: desire that the waters be filled; reluctance to seek wealth; the unnamed wealthy donor and Badarikāśrama dream; paṅkoddhāra and careful excavation; Pāṇḍava-tree protection and Śyāma-kuṇḍa’s irregular shape; Sanātana’s concern and the first kuṭīra tradition. Then introduce the documentary property layer separately.</w:t>
      </w:r>
    </w:p>
    <w:p>
      <w:r>
        <w:rPr>
          <w:b/>
          <w:color w:val="762D3A"/>
        </w:rPr>
        <w:t xml:space="preserve">Controlling sources. </w:t>
      </w:r>
      <w:r>
        <w:t>Raghunātha dāsa, Vilāpa-kusumāñjali 97 and Rādhā-kuṇḍāṣṭaka; Bhakti-ratnākara 5.529–561; RK-04 §§3–6; Mukherjee–Habib Land Rights and later D studies for property chronology.</w:t>
      </w:r>
    </w:p>
    <w:p>
      <w:r>
        <w:rPr>
          <w:b/>
          <w:color w:val="762D3A"/>
        </w:rPr>
        <w:t xml:space="preserve">Evidence-layer handling. </w:t>
      </w:r>
      <w:r>
        <w:t>Deliberately layered A → B → D. The transition between them should be explicit and elegant.</w:t>
      </w:r>
    </w:p>
    <w:p>
      <w:r>
        <w:rPr>
          <w:b/>
          <w:color w:val="762D3A"/>
        </w:rPr>
        <w:t xml:space="preserve">Quotation anchors. </w:t>
      </w:r>
      <w:r>
        <w:t>Vilāpa-kusumāñjali 97; BR 5.530–531; BR 5.545–547; optionally BR 5.560–561 for the kuṭīra.</w:t>
      </w:r>
    </w:p>
    <w:p>
      <w:r>
        <w:rPr>
          <w:b/>
          <w:color w:val="762D3A"/>
        </w:rPr>
        <w:t xml:space="preserve">Do not do. </w:t>
      </w:r>
      <w:r>
        <w:t>Do not say Raghunātha “created” the kuṇḍas. Do not name the wealthy donor when BR calls him kona eka dhanī. Do not turn the Pāṇḍava-tree explanation into archaeological proof. Keep Raghunātha’s own A-level devotional relation distinct from later B-level restoration biography and D-level deeds.</w:t>
      </w:r>
    </w:p>
    <w:p>
      <w:pPr>
        <w:pStyle w:val="Heading2"/>
      </w:pPr>
      <w:r>
        <w:t>11. A Gauḍīya Sacred Community Forms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 WITH ONE QUOTATION GATE</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Show how Rādhā-kuṇḍa becomes a network of residence, literature, pilgrimage, service, and transmission rather than merely the private bhajana place of one saint.</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1,800–2,400 words</w:t>
            </w:r>
          </w:p>
        </w:tc>
      </w:tr>
    </w:tbl>
    <w:p>
      <w:r>
        <w:rPr>
          <w:b/>
          <w:color w:val="762D3A"/>
        </w:rPr>
        <w:t xml:space="preserve">Narrative movement. </w:t>
      </w:r>
      <w:r>
        <w:t>Treat Jīva’s institutional/property connection without inventing residence; Kṛṣṇadāsa Kavirāja’s dependence on Raghunātha and literary memory; Jāhnavā’s multi-day visit and communal sevā; Śrīnivāsa and Narottama’s distinct visits; Rāghava Paṇḍita’s text-guided micro-parikramā; Mānasa-pāvana and other named sites in the early pilgrimage landscape.</w:t>
      </w:r>
    </w:p>
    <w:p>
      <w:r>
        <w:rPr>
          <w:b/>
          <w:color w:val="762D3A"/>
        </w:rPr>
        <w:t xml:space="preserve">Controlling sources. </w:t>
      </w:r>
      <w:r>
        <w:t>RK-04 §§7 onward; Bhakti-ratnākara 5.583–606 and 11.150–189; Mukherjee–Wright testamentary study; Mukherjee–Habib documentary studies; Rādhā-Dāmodara/Jīva material only where relevant to institutional transmission.</w:t>
      </w:r>
    </w:p>
    <w:p>
      <w:r>
        <w:rPr>
          <w:b/>
          <w:color w:val="762D3A"/>
        </w:rPr>
        <w:t xml:space="preserve">Evidence-layer handling. </w:t>
      </w:r>
      <w:r>
        <w:t>A/B/D layers intermingle chronologically but must remain distinct in claims. The Jāhnavā direct-quotation issue is a final-verification gate, not a narrative blocker.</w:t>
      </w:r>
    </w:p>
    <w:p>
      <w:r>
        <w:rPr>
          <w:b/>
          <w:color w:val="762D3A"/>
        </w:rPr>
        <w:t xml:space="preserve">Quotation anchors. </w:t>
      </w:r>
      <w:r>
        <w:t>Use checked BR quotations from the Śrīnivāsa/Narottama blocks. For Jāhnavā, narrate and cite BR 11.150–189 but avoid a long publication-critical Bengali quotation until a better printed Bengali witness is available.</w:t>
      </w:r>
    </w:p>
    <w:p>
      <w:r>
        <w:rPr>
          <w:b/>
          <w:color w:val="762D3A"/>
        </w:rPr>
        <w:t xml:space="preserve">Do not do. </w:t>
      </w:r>
      <w:r>
        <w:t>Do not equate institutional connection with permanent residence. Do not merge the two Śrīnivāsa visits. Do not identify the B-level Jāhnavā visit automatically with the exact modern Jāhnavā Ghāṭ, baithak, or tree.</w:t>
      </w:r>
    </w:p>
    <w:p>
      <w:pPr>
        <w:pStyle w:val="Heading2"/>
      </w:pPr>
      <w:r>
        <w:t>12. From Āriṭ to Rādhā-kuṇḍa: The Documented Physical History</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PARTIAL — DRAFT AFTER A SHORT RK-05 CONSOLIDATION PASS</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Tell the transformation of a village-and-water complex into a developed pilgrimage settlement using documents rather than retrojecting the nitya-līlā map into masonry history.</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2,000–3,000 words</w:t>
            </w:r>
          </w:p>
        </w:tc>
      </w:tr>
    </w:tbl>
    <w:p>
      <w:r>
        <w:rPr>
          <w:b/>
          <w:color w:val="762D3A"/>
        </w:rPr>
        <w:t xml:space="preserve">Narrative movement. </w:t>
      </w:r>
      <w:r>
        <w:t>Work chronologically: sixteenth-century land purchases/transfers; the 1588 Raghunātha → Jīva hiba and its legal problems; Jīva succession/testamentary context; seventeenth-century protections, nālā/water records, gardens, dwellings, roads and establishments; later ghāṭ/temple/patronage development; colonial-era descriptions; modern enlargement and settlement morphology where securely documented.</w:t>
      </w:r>
    </w:p>
    <w:p>
      <w:r>
        <w:rPr>
          <w:b/>
          <w:color w:val="762D3A"/>
        </w:rPr>
        <w:t xml:space="preserve">Controlling sources. </w:t>
      </w:r>
      <w:r>
        <w:t>Mukherjee–Habib, Land Rights; Mukherjee–Wright, Early Testamentary Document; Habib–Mukherjee, Braj Bhum in Mughal Times (especially “From Arith to Radhakund”); Entwistle; Growse; Drake-Brockman; Ananta Dāsa only as C-level later memory where documentary corroboration is absent.</w:t>
      </w:r>
    </w:p>
    <w:p>
      <w:r>
        <w:rPr>
          <w:b/>
          <w:color w:val="762D3A"/>
        </w:rPr>
        <w:t xml:space="preserve">Evidence-layer handling. </w:t>
      </w:r>
      <w:r>
        <w:t>D-level evidence controls. Before drafting, create a compact RK-05 chronology sheet from existing D sources; this is organization, not a new open-ended source hunt.</w:t>
      </w:r>
    </w:p>
    <w:p>
      <w:r>
        <w:rPr>
          <w:b/>
          <w:color w:val="762D3A"/>
        </w:rPr>
        <w:t xml:space="preserve">Quotation anchors. </w:t>
      </w:r>
      <w:r>
        <w:t>Prefer short documentary wording on aṭrāf talāv / plots / hiba or dated protections once exact passages are selected. Avoid decorative quotations from later devotional history where documents exist.</w:t>
      </w:r>
    </w:p>
    <w:p>
      <w:r>
        <w:rPr>
          <w:b/>
          <w:color w:val="762D3A"/>
        </w:rPr>
        <w:t xml:space="preserve">Do not do. </w:t>
      </w:r>
      <w:r>
        <w:t>Do not write a precise causeway/ghāṭ construction chronology that the sources have not yet secured. Do not use GL’s jeweled setu as evidence for early modern masonry. Do not smooth contradictory deed dates or legal forms. Missing Survey of India 54 E/6 means exact historical mapping remains open.</w:t>
      </w:r>
    </w:p>
    <w:p>
      <w:pPr>
        <w:pStyle w:val="Heading2"/>
      </w:pPr>
      <w:r>
        <w:t>13. Rādhā-kuṇḍa Today: A Layered Pilgrimage Landscape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DEFER FINAL VERSION UNTIL FIELD/LOCATION CHECK</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Help the pilgrim understand what can be seen today while visibly separating textual place, early pilgrimage memory, and later/local shrine identification.</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1,500–2,200 words before a separate walking itinerary appendix</w:t>
            </w:r>
          </w:p>
        </w:tc>
      </w:tr>
    </w:tbl>
    <w:p>
      <w:r>
        <w:rPr>
          <w:b/>
          <w:color w:val="762D3A"/>
        </w:rPr>
        <w:t xml:space="preserve">Narrative movement. </w:t>
      </w:r>
      <w:r>
        <w:t>Orient to the twin waters and saṅgama; then group present sites by function rather than dump a list: Gosvāmī sites; ghāṭs; temples; kuṭīra/samādhi memorials; sacred trees; Mānasapāvana/Pāṇḍava complex; sakhī/kuñja commemorations; rāsa-maṇḍalas; kṣetra-pāla Mahādevas; nearby linked places. Use “tradition identifies” or “the present shrine commemorates” where exact localization is not early.</w:t>
      </w:r>
    </w:p>
    <w:p>
      <w:r>
        <w:rPr>
          <w:b/>
          <w:color w:val="762D3A"/>
        </w:rPr>
        <w:t xml:space="preserve">Controlling sources. </w:t>
      </w:r>
      <w:r>
        <w:t>Śrī Vraja-maṇḍala Parikramā; Ananta Dāsa; Entwistle; dossier site inventory; later field notes/photographs; D sources for dated structures where possible.</w:t>
      </w:r>
    </w:p>
    <w:p>
      <w:r>
        <w:rPr>
          <w:b/>
          <w:color w:val="762D3A"/>
        </w:rPr>
        <w:t xml:space="preserve">Evidence-layer handling. </w:t>
      </w:r>
      <w:r>
        <w:t>Mostly C/D with cross-references back to A/B textual identities. Final accuracy requires present-day verification.</w:t>
      </w:r>
    </w:p>
    <w:p>
      <w:r>
        <w:rPr>
          <w:b/>
          <w:color w:val="762D3A"/>
        </w:rPr>
        <w:t xml:space="preserve">Quotation anchors. </w:t>
      </w:r>
      <w:r>
        <w:t>Quotation burden should be low. This section is primarily orientation and source-layer explanation, not a theological anthology.</w:t>
      </w:r>
    </w:p>
    <w:p>
      <w:r>
        <w:rPr>
          <w:b/>
          <w:color w:val="762D3A"/>
        </w:rPr>
        <w:t xml:space="preserve">Do not do. </w:t>
      </w:r>
      <w:r>
        <w:t>Do not call every current memorial the exact ancient/nitya-līlā spot. Do not finalize walking order, access, shrine condition, or current signage from older books alone. The “three-map” rule remains in force.</w:t>
      </w:r>
    </w:p>
    <w:p>
      <w:pPr>
        <w:pStyle w:val="Heading2"/>
      </w:pPr>
      <w:r>
        <w:t>14. Standing at the Water: Devotional Synthesis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F4EEE3"/>
          </w:tcPr>
          <w:p>
            <w:pPr>
              <w:spacing w:after="0"/>
            </w:pPr>
            <w:r/>
            <w:r>
              <w:rPr>
                <w:rFonts w:ascii="Aptos" w:hAnsi="Aptos"/>
                <w:b/>
                <w:color w:val="762D3A"/>
                <w:sz w:val="18"/>
              </w:rPr>
              <w:t>Draft status</w:t>
            </w:r>
          </w:p>
        </w:tc>
        <w:tc>
          <w:tcPr>
            <w:tcW w:type="dxa" w:w="5083"/>
          </w:tcPr>
          <w:p>
            <w:pPr>
              <w:spacing w:after="0"/>
            </w:pPr>
            <w:r/>
            <w:r>
              <w:rPr>
                <w:rFonts w:ascii="Aptos" w:hAnsi="Aptos"/>
                <w:b w:val="0"/>
                <w:sz w:val="18"/>
              </w:rPr>
              <w:t>READY AFTER SECTIONS 1–12</w:t>
            </w:r>
          </w:p>
        </w:tc>
      </w:tr>
      <w:tr>
        <w:trPr>
          <w:cantSplit/>
        </w:trPr>
        <w:tc>
          <w:tcPr>
            <w:tcW w:type="dxa" w:w="5083"/>
            <w:shd w:fill="F4EEE3"/>
          </w:tcPr>
          <w:p>
            <w:pPr>
              <w:spacing w:after="0"/>
            </w:pPr>
            <w:r/>
            <w:r>
              <w:rPr>
                <w:rFonts w:ascii="Aptos" w:hAnsi="Aptos"/>
                <w:b/>
                <w:color w:val="762D3A"/>
                <w:sz w:val="18"/>
              </w:rPr>
              <w:t>Narrative purpose</w:t>
            </w:r>
          </w:p>
        </w:tc>
        <w:tc>
          <w:tcPr>
            <w:tcW w:type="dxa" w:w="5083"/>
          </w:tcPr>
          <w:p>
            <w:pPr>
              <w:spacing w:after="0"/>
            </w:pPr>
            <w:r/>
            <w:r>
              <w:rPr>
                <w:rFonts w:ascii="Aptos" w:hAnsi="Aptos"/>
                <w:b w:val="0"/>
                <w:sz w:val="18"/>
              </w:rPr>
              <w:t>Return from history and mapping to the spiritual center of the chapter. The conclusion should leave the reader with Rādhā-kuṇḍa as a place of shelter, service, remembrance, and longing rather than as an archive of facts.</w:t>
            </w:r>
          </w:p>
        </w:tc>
      </w:tr>
      <w:tr>
        <w:trPr>
          <w:cantSplit/>
        </w:trPr>
        <w:tc>
          <w:tcPr>
            <w:tcW w:type="dxa" w:w="5083"/>
            <w:shd w:fill="F4EEE3"/>
          </w:tcPr>
          <w:p>
            <w:pPr>
              <w:spacing w:after="0"/>
            </w:pPr>
            <w:r/>
            <w:r>
              <w:rPr>
                <w:rFonts w:ascii="Aptos" w:hAnsi="Aptos"/>
                <w:b/>
                <w:color w:val="762D3A"/>
                <w:sz w:val="18"/>
              </w:rPr>
              <w:t>Target length</w:t>
            </w:r>
          </w:p>
        </w:tc>
        <w:tc>
          <w:tcPr>
            <w:tcW w:type="dxa" w:w="5083"/>
          </w:tcPr>
          <w:p>
            <w:pPr>
              <w:spacing w:after="0"/>
            </w:pPr>
            <w:r/>
            <w:r>
              <w:rPr>
                <w:rFonts w:ascii="Aptos" w:hAnsi="Aptos"/>
                <w:b w:val="0"/>
                <w:sz w:val="18"/>
              </w:rPr>
              <w:t>700–1,000 words</w:t>
            </w:r>
          </w:p>
        </w:tc>
      </w:tr>
    </w:tbl>
    <w:p>
      <w:r>
        <w:rPr>
          <w:b/>
          <w:color w:val="762D3A"/>
        </w:rPr>
        <w:t xml:space="preserve">Narrative movement. </w:t>
      </w:r>
      <w:r>
        <w:t>Briefly gather the chapter’s movement: a līlā manifested through playful exchange and grace; an eternal service landscape; a place recognized by Mahāprabhu; the chosen residence of Raghunātha; a living pilgrimage center. End in the voice of the Gosvāmīs, not in modern promotional language.</w:t>
      </w:r>
    </w:p>
    <w:p>
      <w:r>
        <w:rPr>
          <w:b/>
          <w:color w:val="762D3A"/>
        </w:rPr>
        <w:t xml:space="preserve">Controlling sources. </w:t>
      </w:r>
      <w:r>
        <w:t>Raghunātha dāsa, Vilāpa-kusumāñjali 97; Rādhā-kuṇḍāṣṭaka 8 (and possibly 1 or 3); Upadeśāmṛta 11; Mathurā-māhātmya 421. Cross-reference the chapter rather than reopen historical debates.</w:t>
      </w:r>
    </w:p>
    <w:p>
      <w:r>
        <w:rPr>
          <w:b/>
          <w:color w:val="762D3A"/>
        </w:rPr>
        <w:t xml:space="preserve">Evidence-layer handling. </w:t>
      </w:r>
      <w:r>
        <w:t>A-level devotional synthesis.</w:t>
      </w:r>
    </w:p>
    <w:p>
      <w:r>
        <w:rPr>
          <w:b/>
          <w:color w:val="762D3A"/>
        </w:rPr>
        <w:t xml:space="preserve">Quotation anchors. </w:t>
      </w:r>
      <w:r>
        <w:t>Vilāpa-kusumāñjali 97 is the preferred final major quotation: sva-kuṇḍaṁ tava lolākṣi… atraiva mama saṁvāsa / ihaiva mama saṁsthitiḥ.</w:t>
      </w:r>
    </w:p>
    <w:p>
      <w:r>
        <w:rPr>
          <w:b/>
          <w:color w:val="762D3A"/>
        </w:rPr>
        <w:t xml:space="preserve">Do not do. </w:t>
      </w:r>
      <w:r>
        <w:t>Do not end with an unqualified claim that a modern visible feature “is” the eternal structure. Do not introduce new evidence in the conclusion. Do not turn the close into a generic sermon detached from the texts just studied.</w:t>
      </w:r>
    </w:p>
    <w:p>
      <w:pPr>
        <w:pStyle w:val="Heading1"/>
      </w:pPr>
      <w:r>
        <w:t>7. Source burden by section</w:t>
      </w:r>
    </w:p>
    <w:p>
      <w:r>
        <w:t>The table below is a planning matrix, not a substitute for the detailed source notes that will accompany each section draft.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762D3A"/>
          </w:tcPr>
          <w:p>
            <w:pPr>
              <w:spacing w:after="0"/>
            </w:pPr>
            <w:r/>
            <w:r>
              <w:rPr>
                <w:rFonts w:ascii="Aptos" w:hAnsi="Aptos"/>
                <w:b/>
                <w:color w:val="FFFFFF"/>
                <w:sz w:val="17"/>
              </w:rPr>
              <w:t>Sec.</w:t>
            </w:r>
          </w:p>
        </w:tc>
        <w:tc>
          <w:tcPr>
            <w:tcW w:type="dxa" w:w="2033"/>
            <w:shd w:fill="762D3A"/>
          </w:tcPr>
          <w:p>
            <w:pPr>
              <w:spacing w:after="0"/>
            </w:pPr>
            <w:r/>
            <w:r>
              <w:rPr>
                <w:rFonts w:ascii="Aptos" w:hAnsi="Aptos"/>
                <w:b/>
                <w:color w:val="FFFFFF"/>
                <w:sz w:val="17"/>
              </w:rPr>
              <w:t>Primary/Gosvāmī (A)</w:t>
            </w:r>
          </w:p>
        </w:tc>
        <w:tc>
          <w:tcPr>
            <w:tcW w:type="dxa" w:w="2033"/>
            <w:shd w:fill="762D3A"/>
          </w:tcPr>
          <w:p>
            <w:pPr>
              <w:spacing w:after="0"/>
            </w:pPr>
            <w:r/>
            <w:r>
              <w:rPr>
                <w:rFonts w:ascii="Aptos" w:hAnsi="Aptos"/>
                <w:b/>
                <w:color w:val="FFFFFF"/>
                <w:sz w:val="17"/>
              </w:rPr>
              <w:t>Early pilgrimage (B)</w:t>
            </w:r>
          </w:p>
        </w:tc>
        <w:tc>
          <w:tcPr>
            <w:tcW w:type="dxa" w:w="2033"/>
            <w:shd w:fill="762D3A"/>
          </w:tcPr>
          <w:p>
            <w:pPr>
              <w:spacing w:after="0"/>
            </w:pPr>
            <w:r/>
            <w:r>
              <w:rPr>
                <w:rFonts w:ascii="Aptos" w:hAnsi="Aptos"/>
                <w:b/>
                <w:color w:val="FFFFFF"/>
                <w:sz w:val="17"/>
              </w:rPr>
              <w:t>Later/local (C)</w:t>
            </w:r>
          </w:p>
        </w:tc>
        <w:tc>
          <w:tcPr>
            <w:tcW w:type="dxa" w:w="2033"/>
            <w:shd w:fill="762D3A"/>
          </w:tcPr>
          <w:p>
            <w:pPr>
              <w:spacing w:after="0"/>
            </w:pPr>
            <w:r/>
            <w:r>
              <w:rPr>
                <w:rFonts w:ascii="Aptos" w:hAnsi="Aptos"/>
                <w:b/>
                <w:color w:val="FFFFFF"/>
                <w:sz w:val="17"/>
              </w:rPr>
              <w:t>Documentary (D)</w:t>
            </w:r>
          </w:p>
        </w:tc>
      </w:tr>
      <w:tr>
        <w:trPr>
          <w:cantSplit/>
        </w:trPr>
        <w:tc>
          <w:tcPr>
            <w:tcW w:type="dxa" w:w="2033"/>
          </w:tcPr>
          <w:p>
            <w:pPr>
              <w:spacing w:after="0"/>
            </w:pPr>
            <w:r/>
            <w:r>
              <w:rPr>
                <w:rFonts w:ascii="Aptos" w:hAnsi="Aptos"/>
                <w:b w:val="0"/>
                <w:sz w:val="16"/>
              </w:rPr>
              <w:t>1</w:t>
            </w:r>
          </w:p>
        </w:tc>
        <w:tc>
          <w:tcPr>
            <w:tcW w:type="dxa" w:w="2033"/>
          </w:tcPr>
          <w:p>
            <w:pPr>
              <w:spacing w:after="0"/>
            </w:pPr>
            <w:r/>
            <w:r>
              <w:rPr>
                <w:rFonts w:ascii="Aptos" w:hAnsi="Aptos"/>
                <w:b w:val="0"/>
                <w:sz w:val="16"/>
              </w:rPr>
              <w:t>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Low</w:t>
            </w:r>
          </w:p>
        </w:tc>
      </w:tr>
      <w:tr>
        <w:trPr>
          <w:cantSplit/>
        </w:trPr>
        <w:tc>
          <w:tcPr>
            <w:tcW w:type="dxa" w:w="2033"/>
          </w:tcPr>
          <w:p>
            <w:pPr>
              <w:spacing w:after="0"/>
            </w:pPr>
            <w:r/>
            <w:r>
              <w:rPr>
                <w:rFonts w:ascii="Aptos" w:hAnsi="Aptos"/>
                <w:b w:val="0"/>
                <w:sz w:val="16"/>
              </w:rPr>
              <w:t>2</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Low</w:t>
            </w:r>
          </w:p>
        </w:tc>
      </w:tr>
      <w:tr>
        <w:trPr>
          <w:cantSplit/>
        </w:trPr>
        <w:tc>
          <w:tcPr>
            <w:tcW w:type="dxa" w:w="2033"/>
          </w:tcPr>
          <w:p>
            <w:pPr>
              <w:spacing w:after="0"/>
            </w:pPr>
            <w:r/>
            <w:r>
              <w:rPr>
                <w:rFonts w:ascii="Aptos" w:hAnsi="Aptos"/>
                <w:b w:val="0"/>
                <w:sz w:val="16"/>
              </w:rPr>
              <w:t>3</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r>
      <w:tr>
        <w:trPr>
          <w:cantSplit/>
        </w:trPr>
        <w:tc>
          <w:tcPr>
            <w:tcW w:type="dxa" w:w="2033"/>
          </w:tcPr>
          <w:p>
            <w:pPr>
              <w:spacing w:after="0"/>
            </w:pPr>
            <w:r/>
            <w:r>
              <w:rPr>
                <w:rFonts w:ascii="Aptos" w:hAnsi="Aptos"/>
                <w:b w:val="0"/>
                <w:sz w:val="16"/>
              </w:rPr>
              <w:t>4</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r>
      <w:tr>
        <w:trPr>
          <w:cantSplit/>
        </w:trPr>
        <w:tc>
          <w:tcPr>
            <w:tcW w:type="dxa" w:w="2033"/>
          </w:tcPr>
          <w:p>
            <w:pPr>
              <w:spacing w:after="0"/>
            </w:pPr>
            <w:r/>
            <w:r>
              <w:rPr>
                <w:rFonts w:ascii="Aptos" w:hAnsi="Aptos"/>
                <w:b w:val="0"/>
                <w:sz w:val="16"/>
              </w:rPr>
              <w:t>5</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r>
      <w:tr>
        <w:trPr>
          <w:cantSplit/>
        </w:trPr>
        <w:tc>
          <w:tcPr>
            <w:tcW w:type="dxa" w:w="2033"/>
          </w:tcPr>
          <w:p>
            <w:pPr>
              <w:spacing w:after="0"/>
            </w:pPr>
            <w:r/>
            <w:r>
              <w:rPr>
                <w:rFonts w:ascii="Aptos" w:hAnsi="Aptos"/>
                <w:b w:val="0"/>
                <w:sz w:val="16"/>
              </w:rPr>
              <w:t>6</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w:t>
            </w:r>
          </w:p>
        </w:tc>
      </w:tr>
      <w:tr>
        <w:trPr>
          <w:cantSplit/>
        </w:trPr>
        <w:tc>
          <w:tcPr>
            <w:tcW w:type="dxa" w:w="2033"/>
          </w:tcPr>
          <w:p>
            <w:pPr>
              <w:spacing w:after="0"/>
            </w:pPr>
            <w:r/>
            <w:r>
              <w:rPr>
                <w:rFonts w:ascii="Aptos" w:hAnsi="Aptos"/>
                <w:b w:val="0"/>
                <w:sz w:val="16"/>
              </w:rPr>
              <w:t>7</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w:t>
            </w:r>
          </w:p>
        </w:tc>
      </w:tr>
      <w:tr>
        <w:trPr>
          <w:cantSplit/>
        </w:trPr>
        <w:tc>
          <w:tcPr>
            <w:tcW w:type="dxa" w:w="2033"/>
          </w:tcPr>
          <w:p>
            <w:pPr>
              <w:spacing w:after="0"/>
            </w:pPr>
            <w:r/>
            <w:r>
              <w:rPr>
                <w:rFonts w:ascii="Aptos" w:hAnsi="Aptos"/>
                <w:b w:val="0"/>
                <w:sz w:val="16"/>
              </w:rPr>
              <w:t>8</w:t>
            </w:r>
          </w:p>
        </w:tc>
        <w:tc>
          <w:tcPr>
            <w:tcW w:type="dxa" w:w="2033"/>
          </w:tcPr>
          <w:p>
            <w:pPr>
              <w:spacing w:after="0"/>
            </w:pPr>
            <w:r/>
            <w:r>
              <w:rPr>
                <w:rFonts w:ascii="Aptos" w:hAnsi="Aptos"/>
                <w:b w:val="0"/>
                <w:sz w:val="16"/>
              </w:rPr>
              <w:t>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Low</w:t>
            </w:r>
          </w:p>
        </w:tc>
      </w:tr>
      <w:tr>
        <w:trPr>
          <w:cantSplit/>
        </w:trPr>
        <w:tc>
          <w:tcPr>
            <w:tcW w:type="dxa" w:w="2033"/>
          </w:tcPr>
          <w:p>
            <w:pPr>
              <w:spacing w:after="0"/>
            </w:pPr>
            <w:r/>
            <w:r>
              <w:rPr>
                <w:rFonts w:ascii="Aptos" w:hAnsi="Aptos"/>
                <w:b w:val="0"/>
                <w:sz w:val="16"/>
              </w:rPr>
              <w:t>9</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Low</w:t>
            </w:r>
          </w:p>
        </w:tc>
      </w:tr>
      <w:tr>
        <w:trPr>
          <w:cantSplit/>
        </w:trPr>
        <w:tc>
          <w:tcPr>
            <w:tcW w:type="dxa" w:w="2033"/>
          </w:tcPr>
          <w:p>
            <w:pPr>
              <w:spacing w:after="0"/>
            </w:pPr>
            <w:r/>
            <w:r>
              <w:rPr>
                <w:rFonts w:ascii="Aptos" w:hAnsi="Aptos"/>
                <w:b w:val="0"/>
                <w:sz w:val="16"/>
              </w:rPr>
              <w:t>10</w:t>
            </w:r>
          </w:p>
        </w:tc>
        <w:tc>
          <w:tcPr>
            <w:tcW w:type="dxa" w:w="2033"/>
          </w:tcPr>
          <w:p>
            <w:pPr>
              <w:spacing w:after="0"/>
            </w:pPr>
            <w:r/>
            <w:r>
              <w:rPr>
                <w:rFonts w:ascii="Aptos" w:hAnsi="Aptos"/>
                <w:b w:val="0"/>
                <w:sz w:val="16"/>
              </w:rPr>
              <w:t>High</w:t>
            </w:r>
          </w:p>
        </w:tc>
        <w:tc>
          <w:tcPr>
            <w:tcW w:type="dxa" w:w="2033"/>
          </w:tcPr>
          <w:p>
            <w:pPr>
              <w:spacing w:after="0"/>
            </w:pPr>
            <w:r/>
            <w:r>
              <w:rPr>
                <w:rFonts w:ascii="Aptos" w:hAnsi="Aptos"/>
                <w:b w:val="0"/>
                <w:sz w:val="16"/>
              </w:rPr>
              <w:t>High</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Medium</w:t>
            </w:r>
          </w:p>
        </w:tc>
      </w:tr>
      <w:tr>
        <w:trPr>
          <w:cantSplit/>
        </w:trPr>
        <w:tc>
          <w:tcPr>
            <w:tcW w:type="dxa" w:w="2033"/>
          </w:tcPr>
          <w:p>
            <w:pPr>
              <w:spacing w:after="0"/>
            </w:pPr>
            <w:r/>
            <w:r>
              <w:rPr>
                <w:rFonts w:ascii="Aptos" w:hAnsi="Aptos"/>
                <w:b w:val="0"/>
                <w:sz w:val="16"/>
              </w:rPr>
              <w:t>11</w:t>
            </w:r>
          </w:p>
        </w:tc>
        <w:tc>
          <w:tcPr>
            <w:tcW w:type="dxa" w:w="2033"/>
          </w:tcPr>
          <w:p>
            <w:pPr>
              <w:spacing w:after="0"/>
            </w:pPr>
            <w:r/>
            <w:r>
              <w:rPr>
                <w:rFonts w:ascii="Aptos" w:hAnsi="Aptos"/>
                <w:b w:val="0"/>
                <w:sz w:val="16"/>
              </w:rPr>
              <w:t>Medium</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Medium</w:t>
            </w:r>
          </w:p>
        </w:tc>
        <w:tc>
          <w:tcPr>
            <w:tcW w:type="dxa" w:w="2033"/>
          </w:tcPr>
          <w:p>
            <w:pPr>
              <w:spacing w:after="0"/>
            </w:pPr>
            <w:r/>
            <w:r>
              <w:rPr>
                <w:rFonts w:ascii="Aptos" w:hAnsi="Aptos"/>
                <w:b w:val="0"/>
                <w:sz w:val="16"/>
              </w:rPr>
              <w:t>High</w:t>
            </w:r>
          </w:p>
        </w:tc>
      </w:tr>
      <w:tr>
        <w:trPr>
          <w:cantSplit/>
        </w:trPr>
        <w:tc>
          <w:tcPr>
            <w:tcW w:type="dxa" w:w="2033"/>
          </w:tcPr>
          <w:p>
            <w:pPr>
              <w:spacing w:after="0"/>
            </w:pPr>
            <w:r/>
            <w:r>
              <w:rPr>
                <w:rFonts w:ascii="Aptos" w:hAnsi="Aptos"/>
                <w:b w:val="0"/>
                <w:sz w:val="16"/>
              </w:rPr>
              <w:t>12</w:t>
            </w:r>
          </w:p>
        </w:tc>
        <w:tc>
          <w:tcPr>
            <w:tcW w:type="dxa" w:w="2033"/>
          </w:tcPr>
          <w:p>
            <w:pPr>
              <w:spacing w:after="0"/>
            </w:pPr>
            <w:r/>
            <w:r>
              <w:rPr>
                <w:rFonts w:ascii="Aptos" w:hAnsi="Aptos"/>
                <w:b w:val="0"/>
                <w:sz w:val="16"/>
              </w:rPr>
              <w:t>Low</w:t>
            </w:r>
          </w:p>
        </w:tc>
        <w:tc>
          <w:tcPr>
            <w:tcW w:type="dxa" w:w="2033"/>
          </w:tcPr>
          <w:p>
            <w:pPr>
              <w:spacing w:after="0"/>
            </w:pPr>
            <w:r/>
            <w:r>
              <w:rPr>
                <w:rFonts w:ascii="Aptos" w:hAnsi="Aptos"/>
                <w:b w:val="0"/>
                <w:sz w:val="16"/>
              </w:rPr>
              <w:t>Medium</w:t>
            </w:r>
          </w:p>
        </w:tc>
        <w:tc>
          <w:tcPr>
            <w:tcW w:type="dxa" w:w="2033"/>
          </w:tcPr>
          <w:p>
            <w:pPr>
              <w:spacing w:after="0"/>
            </w:pPr>
            <w:r/>
            <w:r>
              <w:rPr>
                <w:rFonts w:ascii="Aptos" w:hAnsi="Aptos"/>
                <w:b w:val="0"/>
                <w:sz w:val="16"/>
              </w:rPr>
              <w:t>Medium</w:t>
            </w:r>
          </w:p>
        </w:tc>
        <w:tc>
          <w:tcPr>
            <w:tcW w:type="dxa" w:w="2033"/>
          </w:tcPr>
          <w:p>
            <w:pPr>
              <w:spacing w:after="0"/>
            </w:pPr>
            <w:r/>
            <w:r>
              <w:rPr>
                <w:rFonts w:ascii="Aptos" w:hAnsi="Aptos"/>
                <w:b w:val="0"/>
                <w:sz w:val="16"/>
              </w:rPr>
              <w:t>Very high</w:t>
            </w:r>
          </w:p>
        </w:tc>
      </w:tr>
      <w:tr>
        <w:trPr>
          <w:cantSplit/>
        </w:trPr>
        <w:tc>
          <w:tcPr>
            <w:tcW w:type="dxa" w:w="2033"/>
          </w:tcPr>
          <w:p>
            <w:pPr>
              <w:spacing w:after="0"/>
            </w:pPr>
            <w:r/>
            <w:r>
              <w:rPr>
                <w:rFonts w:ascii="Aptos" w:hAnsi="Aptos"/>
                <w:b w:val="0"/>
                <w:sz w:val="16"/>
              </w:rPr>
              <w:t>13</w:t>
            </w:r>
          </w:p>
        </w:tc>
        <w:tc>
          <w:tcPr>
            <w:tcW w:type="dxa" w:w="2033"/>
          </w:tcPr>
          <w:p>
            <w:pPr>
              <w:spacing w:after="0"/>
            </w:pPr>
            <w:r/>
            <w:r>
              <w:rPr>
                <w:rFonts w:ascii="Aptos" w:hAnsi="Aptos"/>
                <w:b w:val="0"/>
                <w:sz w:val="16"/>
              </w:rPr>
              <w:t>Cross-reference</w:t>
            </w:r>
          </w:p>
        </w:tc>
        <w:tc>
          <w:tcPr>
            <w:tcW w:type="dxa" w:w="2033"/>
          </w:tcPr>
          <w:p>
            <w:pPr>
              <w:spacing w:after="0"/>
            </w:pPr>
            <w:r/>
            <w:r>
              <w:rPr>
                <w:rFonts w:ascii="Aptos" w:hAnsi="Aptos"/>
                <w:b w:val="0"/>
                <w:sz w:val="16"/>
              </w:rPr>
              <w:t>Cross-reference</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High</w:t>
            </w:r>
          </w:p>
        </w:tc>
      </w:tr>
      <w:tr>
        <w:trPr>
          <w:cantSplit/>
        </w:trPr>
        <w:tc>
          <w:tcPr>
            <w:tcW w:type="dxa" w:w="2033"/>
          </w:tcPr>
          <w:p>
            <w:pPr>
              <w:spacing w:after="0"/>
            </w:pPr>
            <w:r/>
            <w:r>
              <w:rPr>
                <w:rFonts w:ascii="Aptos" w:hAnsi="Aptos"/>
                <w:b w:val="0"/>
                <w:sz w:val="16"/>
              </w:rPr>
              <w:t>14</w:t>
            </w:r>
          </w:p>
        </w:tc>
        <w:tc>
          <w:tcPr>
            <w:tcW w:type="dxa" w:w="2033"/>
          </w:tcPr>
          <w:p>
            <w:pPr>
              <w:spacing w:after="0"/>
            </w:pPr>
            <w:r/>
            <w:r>
              <w:rPr>
                <w:rFonts w:ascii="Aptos" w:hAnsi="Aptos"/>
                <w:b w:val="0"/>
                <w:sz w:val="16"/>
              </w:rPr>
              <w:t>Very high</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w:t>
            </w:r>
          </w:p>
        </w:tc>
        <w:tc>
          <w:tcPr>
            <w:tcW w:type="dxa" w:w="2033"/>
          </w:tcPr>
          <w:p>
            <w:pPr>
              <w:spacing w:after="0"/>
            </w:pPr>
            <w:r/>
            <w:r>
              <w:rPr>
                <w:rFonts w:ascii="Aptos" w:hAnsi="Aptos"/>
                <w:b w:val="0"/>
                <w:sz w:val="16"/>
              </w:rPr>
              <w:t>—</w:t>
            </w:r>
          </w:p>
        </w:tc>
      </w:tr>
    </w:tbl>
    <w:p>
      <w:pPr>
        <w:pStyle w:val="Heading1"/>
      </w:pPr>
      <w:r>
        <w:t>8. Primary quotation shortlist for the complete chapter</w:t>
      </w:r>
    </w:p>
    <w:p>
      <w:r>
        <w:t>These are the quotations most likely to deserve visible space in the reader-facing chapter. Final wording and translation will be rechecked at the moment of drafting.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62D3A"/>
          </w:tcPr>
          <w:p>
            <w:pPr>
              <w:spacing w:after="0"/>
            </w:pPr>
            <w:r/>
            <w:r>
              <w:rPr>
                <w:rFonts w:ascii="Aptos" w:hAnsi="Aptos"/>
                <w:b/>
                <w:color w:val="FFFFFF"/>
                <w:sz w:val="17"/>
              </w:rPr>
              <w:t>Locus</w:t>
            </w:r>
          </w:p>
        </w:tc>
        <w:tc>
          <w:tcPr>
            <w:tcW w:type="dxa" w:w="3389"/>
            <w:shd w:fill="762D3A"/>
          </w:tcPr>
          <w:p>
            <w:pPr>
              <w:spacing w:after="0"/>
            </w:pPr>
            <w:r/>
            <w:r>
              <w:rPr>
                <w:rFonts w:ascii="Aptos" w:hAnsi="Aptos"/>
                <w:b/>
                <w:color w:val="FFFFFF"/>
                <w:sz w:val="17"/>
              </w:rPr>
              <w:t>Quotation/phrase</w:t>
            </w:r>
          </w:p>
        </w:tc>
        <w:tc>
          <w:tcPr>
            <w:tcW w:type="dxa" w:w="3389"/>
            <w:shd w:fill="762D3A"/>
          </w:tcPr>
          <w:p>
            <w:pPr>
              <w:spacing w:after="0"/>
            </w:pPr>
            <w:r/>
            <w:r>
              <w:rPr>
                <w:rFonts w:ascii="Aptos" w:hAnsi="Aptos"/>
                <w:b/>
                <w:color w:val="FFFFFF"/>
                <w:sz w:val="17"/>
              </w:rPr>
              <w:t>Why it matters</w:t>
            </w:r>
          </w:p>
        </w:tc>
      </w:tr>
      <w:tr>
        <w:trPr>
          <w:cantSplit/>
        </w:trPr>
        <w:tc>
          <w:tcPr>
            <w:tcW w:type="dxa" w:w="3389"/>
          </w:tcPr>
          <w:p>
            <w:pPr>
              <w:spacing w:after="0"/>
            </w:pPr>
            <w:r/>
            <w:r>
              <w:rPr>
                <w:rFonts w:ascii="Aptos" w:hAnsi="Aptos"/>
                <w:b w:val="0"/>
                <w:sz w:val="16"/>
              </w:rPr>
              <w:t>ŚB 10.36</w:t>
            </w:r>
          </w:p>
        </w:tc>
        <w:tc>
          <w:tcPr>
            <w:tcW w:type="dxa" w:w="3389"/>
          </w:tcPr>
          <w:p>
            <w:pPr>
              <w:spacing w:after="0"/>
            </w:pPr>
            <w:r/>
            <w:r>
              <w:rPr>
                <w:rFonts w:ascii="Aptos" w:hAnsi="Aptos"/>
                <w:b w:val="0"/>
                <w:sz w:val="16"/>
              </w:rPr>
              <w:t>One compact Ariṣṭāsura verse/scene</w:t>
            </w:r>
          </w:p>
        </w:tc>
        <w:tc>
          <w:tcPr>
            <w:tcW w:type="dxa" w:w="3389"/>
          </w:tcPr>
          <w:p>
            <w:pPr>
              <w:spacing w:after="0"/>
            </w:pPr>
            <w:r/>
            <w:r>
              <w:rPr>
                <w:rFonts w:ascii="Aptos" w:hAnsi="Aptos"/>
                <w:b w:val="0"/>
                <w:sz w:val="16"/>
              </w:rPr>
              <w:t>Canonical foundation; exact selection during Section 2 drafting.</w:t>
            </w:r>
          </w:p>
        </w:tc>
      </w:tr>
      <w:tr>
        <w:trPr>
          <w:cantSplit/>
        </w:trPr>
        <w:tc>
          <w:tcPr>
            <w:tcW w:type="dxa" w:w="3389"/>
          </w:tcPr>
          <w:p>
            <w:pPr>
              <w:spacing w:after="0"/>
            </w:pPr>
            <w:r/>
            <w:r>
              <w:rPr>
                <w:rFonts w:ascii="Aptos" w:hAnsi="Aptos"/>
                <w:b w:val="0"/>
                <w:sz w:val="16"/>
              </w:rPr>
              <w:t>Rādhā-kuṇḍāṣṭaka 1</w:t>
            </w:r>
          </w:p>
        </w:tc>
        <w:tc>
          <w:tcPr>
            <w:tcW w:type="dxa" w:w="3389"/>
          </w:tcPr>
          <w:p>
            <w:pPr>
              <w:spacing w:after="0"/>
            </w:pPr>
            <w:r/>
            <w:r>
              <w:rPr>
                <w:rFonts w:ascii="Aptos" w:hAnsi="Aptos"/>
                <w:b w:val="0"/>
                <w:sz w:val="16"/>
              </w:rPr>
              <w:t>vṛṣabha-danuja-nāśān narma-dharmokti-raṅgair … sva-hastena …</w:t>
            </w:r>
          </w:p>
        </w:tc>
        <w:tc>
          <w:tcPr>
            <w:tcW w:type="dxa" w:w="3389"/>
          </w:tcPr>
          <w:p>
            <w:pPr>
              <w:spacing w:after="0"/>
            </w:pPr>
            <w:r/>
            <w:r>
              <w:rPr>
                <w:rFonts w:ascii="Aptos" w:hAnsi="Aptos"/>
                <w:b w:val="0"/>
                <w:sz w:val="16"/>
              </w:rPr>
              <w:t>Controls the playful dharma speech and “own hands” motif.</w:t>
            </w:r>
          </w:p>
        </w:tc>
      </w:tr>
      <w:tr>
        <w:trPr>
          <w:cantSplit/>
        </w:trPr>
        <w:tc>
          <w:tcPr>
            <w:tcW w:type="dxa" w:w="3389"/>
          </w:tcPr>
          <w:p>
            <w:pPr>
              <w:spacing w:after="0"/>
            </w:pPr>
            <w:r/>
            <w:r>
              <w:rPr>
                <w:rFonts w:ascii="Aptos" w:hAnsi="Aptos"/>
                <w:b w:val="0"/>
                <w:sz w:val="16"/>
              </w:rPr>
              <w:t>Mathurā-māhātmya 421</w:t>
            </w:r>
          </w:p>
        </w:tc>
        <w:tc>
          <w:tcPr>
            <w:tcW w:type="dxa" w:w="3389"/>
          </w:tcPr>
          <w:p>
            <w:pPr>
              <w:spacing w:after="0"/>
            </w:pPr>
            <w:r/>
            <w:r>
              <w:rPr>
                <w:rFonts w:ascii="Aptos" w:hAnsi="Aptos"/>
                <w:b w:val="0"/>
                <w:sz w:val="16"/>
              </w:rPr>
              <w:t>yathā rādhā priyā viṣṇos / tasyāḥ kuṇḍaṁ priyaṁ tathā</w:t>
            </w:r>
          </w:p>
        </w:tc>
        <w:tc>
          <w:tcPr>
            <w:tcW w:type="dxa" w:w="3389"/>
          </w:tcPr>
          <w:p>
            <w:pPr>
              <w:spacing w:after="0"/>
            </w:pPr>
            <w:r/>
            <w:r>
              <w:rPr>
                <w:rFonts w:ascii="Aptos" w:hAnsi="Aptos"/>
                <w:b w:val="0"/>
                <w:sz w:val="16"/>
              </w:rPr>
              <w:t>Central dearness formula.</w:t>
            </w:r>
          </w:p>
        </w:tc>
      </w:tr>
      <w:tr>
        <w:trPr>
          <w:cantSplit/>
        </w:trPr>
        <w:tc>
          <w:tcPr>
            <w:tcW w:type="dxa" w:w="3389"/>
          </w:tcPr>
          <w:p>
            <w:pPr>
              <w:spacing w:after="0"/>
            </w:pPr>
            <w:r/>
            <w:r>
              <w:rPr>
                <w:rFonts w:ascii="Aptos" w:hAnsi="Aptos"/>
                <w:b w:val="0"/>
                <w:sz w:val="16"/>
              </w:rPr>
              <w:t>Rādhā-kuṇḍāṣṭaka 3</w:t>
            </w:r>
          </w:p>
        </w:tc>
        <w:tc>
          <w:tcPr>
            <w:tcW w:type="dxa" w:w="3389"/>
          </w:tcPr>
          <w:p>
            <w:pPr>
              <w:spacing w:after="0"/>
            </w:pPr>
            <w:r/>
            <w:r>
              <w:rPr>
                <w:rFonts w:ascii="Aptos" w:hAnsi="Aptos"/>
                <w:b w:val="0"/>
                <w:sz w:val="16"/>
              </w:rPr>
              <w:t>agha-ripur api yatnād atra devyāḥ prasāda…</w:t>
            </w:r>
          </w:p>
        </w:tc>
        <w:tc>
          <w:tcPr>
            <w:tcW w:type="dxa" w:w="3389"/>
          </w:tcPr>
          <w:p>
            <w:pPr>
              <w:spacing w:after="0"/>
            </w:pPr>
            <w:r/>
            <w:r>
              <w:rPr>
                <w:rFonts w:ascii="Aptos" w:hAnsi="Aptos"/>
                <w:b w:val="0"/>
                <w:sz w:val="16"/>
              </w:rPr>
              <w:t>Grace, bathing, service, and Kṛṣṇa’s relation to the kuṇḍa.</w:t>
            </w:r>
          </w:p>
        </w:tc>
      </w:tr>
      <w:tr>
        <w:trPr>
          <w:cantSplit/>
        </w:trPr>
        <w:tc>
          <w:tcPr>
            <w:tcW w:type="dxa" w:w="3389"/>
          </w:tcPr>
          <w:p>
            <w:pPr>
              <w:spacing w:after="0"/>
            </w:pPr>
            <w:r/>
            <w:r>
              <w:rPr>
                <w:rFonts w:ascii="Aptos" w:hAnsi="Aptos"/>
                <w:b w:val="0"/>
                <w:sz w:val="16"/>
              </w:rPr>
              <w:t>Govinda-līlāmṛta 7.6</w:t>
            </w:r>
          </w:p>
        </w:tc>
        <w:tc>
          <w:tcPr>
            <w:tcW w:type="dxa" w:w="3389"/>
          </w:tcPr>
          <w:p>
            <w:pPr>
              <w:spacing w:after="0"/>
            </w:pPr>
            <w:r/>
            <w:r>
              <w:rPr>
                <w:rFonts w:ascii="Aptos" w:hAnsi="Aptos"/>
                <w:b w:val="0"/>
                <w:sz w:val="16"/>
              </w:rPr>
              <w:t>pūrvāgneya-diśor madhye … saṅgatam … citra-setu…</w:t>
            </w:r>
          </w:p>
        </w:tc>
        <w:tc>
          <w:tcPr>
            <w:tcW w:type="dxa" w:w="3389"/>
          </w:tcPr>
          <w:p>
            <w:pPr>
              <w:spacing w:after="0"/>
            </w:pPr>
            <w:r/>
            <w:r>
              <w:rPr>
                <w:rFonts w:ascii="Aptos" w:hAnsi="Aptos"/>
                <w:b w:val="0"/>
                <w:sz w:val="16"/>
              </w:rPr>
              <w:t>Saṅgama/setu textual anchor.</w:t>
            </w:r>
          </w:p>
        </w:tc>
      </w:tr>
      <w:tr>
        <w:trPr>
          <w:cantSplit/>
        </w:trPr>
        <w:tc>
          <w:tcPr>
            <w:tcW w:type="dxa" w:w="3389"/>
          </w:tcPr>
          <w:p>
            <w:pPr>
              <w:spacing w:after="0"/>
            </w:pPr>
            <w:r/>
            <w:r>
              <w:rPr>
                <w:rFonts w:ascii="Aptos" w:hAnsi="Aptos"/>
                <w:b w:val="0"/>
                <w:sz w:val="16"/>
              </w:rPr>
              <w:t>Govinda-līlāmṛta 7.27 and/or 7.100–101</w:t>
            </w:r>
          </w:p>
        </w:tc>
        <w:tc>
          <w:tcPr>
            <w:tcW w:type="dxa" w:w="3389"/>
          </w:tcPr>
          <w:p>
            <w:pPr>
              <w:spacing w:after="0"/>
            </w:pPr>
            <w:r/>
            <w:r>
              <w:rPr>
                <w:rFonts w:ascii="Aptos" w:hAnsi="Aptos"/>
                <w:b w:val="0"/>
                <w:sz w:val="16"/>
              </w:rPr>
              <w:t>Eight directional kuñjas / Anaṅga Mañjarī’s central lotus dwelling</w:t>
            </w:r>
          </w:p>
        </w:tc>
        <w:tc>
          <w:tcPr>
            <w:tcW w:type="dxa" w:w="3389"/>
          </w:tcPr>
          <w:p>
            <w:pPr>
              <w:spacing w:after="0"/>
            </w:pPr>
            <w:r/>
            <w:r>
              <w:rPr>
                <w:rFonts w:ascii="Aptos" w:hAnsi="Aptos"/>
                <w:b w:val="0"/>
                <w:sz w:val="16"/>
              </w:rPr>
              <w:t>Nitya-līlā map anchor.</w:t>
            </w:r>
          </w:p>
        </w:tc>
      </w:tr>
      <w:tr>
        <w:trPr>
          <w:cantSplit/>
        </w:trPr>
        <w:tc>
          <w:tcPr>
            <w:tcW w:type="dxa" w:w="3389"/>
          </w:tcPr>
          <w:p>
            <w:pPr>
              <w:spacing w:after="0"/>
            </w:pPr>
            <w:r/>
            <w:r>
              <w:rPr>
                <w:rFonts w:ascii="Aptos" w:hAnsi="Aptos"/>
                <w:b w:val="0"/>
                <w:sz w:val="16"/>
              </w:rPr>
              <w:t>Govinda-līlāmṛta 5.40</w:t>
            </w:r>
          </w:p>
        </w:tc>
        <w:tc>
          <w:tcPr>
            <w:tcW w:type="dxa" w:w="3389"/>
          </w:tcPr>
          <w:p>
            <w:pPr>
              <w:spacing w:after="0"/>
            </w:pPr>
            <w:r/>
            <w:r>
              <w:rPr>
                <w:rFonts w:ascii="Aptos" w:hAnsi="Aptos"/>
                <w:b w:val="0"/>
                <w:sz w:val="16"/>
              </w:rPr>
              <w:t>āgantavyaṁ … chadmanāśu sva-kuṇḍam</w:t>
            </w:r>
          </w:p>
        </w:tc>
        <w:tc>
          <w:tcPr>
            <w:tcW w:type="dxa" w:w="3389"/>
          </w:tcPr>
          <w:p>
            <w:pPr>
              <w:spacing w:after="0"/>
            </w:pPr>
            <w:r/>
            <w:r>
              <w:rPr>
                <w:rFonts w:ascii="Aptos" w:hAnsi="Aptos"/>
                <w:b w:val="0"/>
                <w:sz w:val="16"/>
              </w:rPr>
              <w:t>Route/appointment anchor.</w:t>
            </w:r>
          </w:p>
        </w:tc>
      </w:tr>
      <w:tr>
        <w:trPr>
          <w:cantSplit/>
        </w:trPr>
        <w:tc>
          <w:tcPr>
            <w:tcW w:type="dxa" w:w="3389"/>
          </w:tcPr>
          <w:p>
            <w:pPr>
              <w:spacing w:after="0"/>
            </w:pPr>
            <w:r/>
            <w:r>
              <w:rPr>
                <w:rFonts w:ascii="Aptos" w:hAnsi="Aptos"/>
                <w:b w:val="0"/>
                <w:sz w:val="16"/>
              </w:rPr>
              <w:t>Gaṇoddeśa-dīpikā 123–127</w:t>
            </w:r>
          </w:p>
        </w:tc>
        <w:tc>
          <w:tcPr>
            <w:tcW w:type="dxa" w:w="3389"/>
          </w:tcPr>
          <w:p>
            <w:pPr>
              <w:spacing w:after="0"/>
            </w:pPr>
            <w:r/>
            <w:r>
              <w:rPr>
                <w:rFonts w:ascii="Aptos" w:hAnsi="Aptos"/>
                <w:b w:val="0"/>
                <w:sz w:val="16"/>
              </w:rPr>
              <w:t>Selected lines from the sakhī service charter</w:t>
            </w:r>
          </w:p>
        </w:tc>
        <w:tc>
          <w:tcPr>
            <w:tcW w:type="dxa" w:w="3389"/>
          </w:tcPr>
          <w:p>
            <w:pPr>
              <w:spacing w:after="0"/>
            </w:pPr>
            <w:r/>
            <w:r>
              <w:rPr>
                <w:rFonts w:ascii="Aptos" w:hAnsi="Aptos"/>
                <w:b w:val="0"/>
                <w:sz w:val="16"/>
              </w:rPr>
              <w:t>Turns named associates into service actors.</w:t>
            </w:r>
          </w:p>
        </w:tc>
      </w:tr>
      <w:tr>
        <w:trPr>
          <w:cantSplit/>
        </w:trPr>
        <w:tc>
          <w:tcPr>
            <w:tcW w:type="dxa" w:w="3389"/>
          </w:tcPr>
          <w:p>
            <w:pPr>
              <w:spacing w:after="0"/>
            </w:pPr>
            <w:r/>
            <w:r>
              <w:rPr>
                <w:rFonts w:ascii="Aptos" w:hAnsi="Aptos"/>
                <w:b w:val="0"/>
                <w:sz w:val="16"/>
              </w:rPr>
              <w:t>CC Madhya 18.5</w:t>
            </w:r>
          </w:p>
        </w:tc>
        <w:tc>
          <w:tcPr>
            <w:tcW w:type="dxa" w:w="3389"/>
          </w:tcPr>
          <w:p>
            <w:pPr>
              <w:spacing w:after="0"/>
            </w:pPr>
            <w:r/>
            <w:r>
              <w:rPr>
                <w:rFonts w:ascii="Aptos" w:hAnsi="Aptos"/>
                <w:b w:val="0"/>
                <w:sz w:val="16"/>
              </w:rPr>
              <w:t>tīrtha ‘lupta’ … dui dhānya-kṣetre alpa-jale kailā snāna</w:t>
            </w:r>
          </w:p>
        </w:tc>
        <w:tc>
          <w:tcPr>
            <w:tcW w:type="dxa" w:w="3389"/>
          </w:tcPr>
          <w:p>
            <w:pPr>
              <w:spacing w:after="0"/>
            </w:pPr>
            <w:r/>
            <w:r>
              <w:rPr>
                <w:rFonts w:ascii="Aptos" w:hAnsi="Aptos"/>
                <w:b w:val="0"/>
                <w:sz w:val="16"/>
              </w:rPr>
              <w:t>Mahāprabhu’s recognition scene.</w:t>
            </w:r>
          </w:p>
        </w:tc>
      </w:tr>
      <w:tr>
        <w:trPr>
          <w:cantSplit/>
        </w:trPr>
        <w:tc>
          <w:tcPr>
            <w:tcW w:type="dxa" w:w="3389"/>
          </w:tcPr>
          <w:p>
            <w:pPr>
              <w:spacing w:after="0"/>
            </w:pPr>
            <w:r/>
            <w:r>
              <w:rPr>
                <w:rFonts w:ascii="Aptos" w:hAnsi="Aptos"/>
                <w:b w:val="0"/>
                <w:sz w:val="16"/>
              </w:rPr>
              <w:t>CC Madhya 18.14</w:t>
            </w:r>
          </w:p>
        </w:tc>
        <w:tc>
          <w:tcPr>
            <w:tcW w:type="dxa" w:w="3389"/>
          </w:tcPr>
          <w:p>
            <w:pPr>
              <w:spacing w:after="0"/>
            </w:pPr>
            <w:r/>
            <w:r>
              <w:rPr>
                <w:rFonts w:ascii="Aptos" w:hAnsi="Aptos"/>
                <w:b w:val="0"/>
                <w:sz w:val="16"/>
              </w:rPr>
              <w:t>kuṇḍera mṛttikā lañā tilaka karila…</w:t>
            </w:r>
          </w:p>
        </w:tc>
        <w:tc>
          <w:tcPr>
            <w:tcW w:type="dxa" w:w="3389"/>
          </w:tcPr>
          <w:p>
            <w:pPr>
              <w:spacing w:after="0"/>
            </w:pPr>
            <w:r/>
            <w:r>
              <w:rPr>
                <w:rFonts w:ascii="Aptos" w:hAnsi="Aptos"/>
                <w:b w:val="0"/>
                <w:sz w:val="16"/>
              </w:rPr>
              <w:t>Embodied pilgrimage response.</w:t>
            </w:r>
          </w:p>
        </w:tc>
      </w:tr>
      <w:tr>
        <w:trPr>
          <w:cantSplit/>
        </w:trPr>
        <w:tc>
          <w:tcPr>
            <w:tcW w:type="dxa" w:w="3389"/>
          </w:tcPr>
          <w:p>
            <w:pPr>
              <w:spacing w:after="0"/>
            </w:pPr>
            <w:r/>
            <w:r>
              <w:rPr>
                <w:rFonts w:ascii="Aptos" w:hAnsi="Aptos"/>
                <w:b w:val="0"/>
                <w:sz w:val="16"/>
              </w:rPr>
              <w:t>Vilāpa-kusumāñjali 97</w:t>
            </w:r>
          </w:p>
        </w:tc>
        <w:tc>
          <w:tcPr>
            <w:tcW w:type="dxa" w:w="3389"/>
          </w:tcPr>
          <w:p>
            <w:pPr>
              <w:spacing w:after="0"/>
            </w:pPr>
            <w:r/>
            <w:r>
              <w:rPr>
                <w:rFonts w:ascii="Aptos" w:hAnsi="Aptos"/>
                <w:b w:val="0"/>
                <w:sz w:val="16"/>
              </w:rPr>
              <w:t>sva-kuṇḍaṁ tava lolākṣi … atraiva mama saṁvāsa / ihaiva mama saṁsthitiḥ</w:t>
            </w:r>
          </w:p>
        </w:tc>
        <w:tc>
          <w:tcPr>
            <w:tcW w:type="dxa" w:w="3389"/>
          </w:tcPr>
          <w:p>
            <w:pPr>
              <w:spacing w:after="0"/>
            </w:pPr>
            <w:r/>
            <w:r>
              <w:rPr>
                <w:rFonts w:ascii="Aptos" w:hAnsi="Aptos"/>
                <w:b w:val="0"/>
                <w:sz w:val="16"/>
              </w:rPr>
              <w:t>Preferred concluding devotional voice.</w:t>
            </w:r>
          </w:p>
        </w:tc>
      </w:tr>
      <w:tr>
        <w:trPr>
          <w:cantSplit/>
        </w:trPr>
        <w:tc>
          <w:tcPr>
            <w:tcW w:type="dxa" w:w="3389"/>
          </w:tcPr>
          <w:p>
            <w:pPr>
              <w:spacing w:after="0"/>
            </w:pPr>
            <w:r/>
            <w:r>
              <w:rPr>
                <w:rFonts w:ascii="Aptos" w:hAnsi="Aptos"/>
                <w:b w:val="0"/>
                <w:sz w:val="16"/>
              </w:rPr>
              <w:t>Bhakti-ratnākara 5.545–547</w:t>
            </w:r>
          </w:p>
        </w:tc>
        <w:tc>
          <w:tcPr>
            <w:tcW w:type="dxa" w:w="3389"/>
          </w:tcPr>
          <w:p>
            <w:pPr>
              <w:spacing w:after="0"/>
            </w:pPr>
            <w:r/>
            <w:r>
              <w:rPr>
                <w:rFonts w:ascii="Aptos" w:hAnsi="Aptos"/>
                <w:b w:val="0"/>
                <w:sz w:val="16"/>
              </w:rPr>
              <w:t>paṅkoddhāra … bahu loka … khodāila</w:t>
            </w:r>
          </w:p>
        </w:tc>
        <w:tc>
          <w:tcPr>
            <w:tcW w:type="dxa" w:w="3389"/>
          </w:tcPr>
          <w:p>
            <w:pPr>
              <w:spacing w:after="0"/>
            </w:pPr>
            <w:r/>
            <w:r>
              <w:rPr>
                <w:rFonts w:ascii="Aptos" w:hAnsi="Aptos"/>
                <w:b w:val="0"/>
                <w:sz w:val="16"/>
              </w:rPr>
              <w:t>Restoration language; B-level historical memory.</w:t>
            </w:r>
          </w:p>
        </w:tc>
      </w:tr>
    </w:tbl>
    <w:p>
      <w:pPr>
        <w:pStyle w:val="Heading1"/>
      </w:pPr>
      <w:r>
        <w:t>9. Final-verification register: do not let these stop the writing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62D3A"/>
          </w:tcPr>
          <w:p>
            <w:pPr>
              <w:spacing w:after="0"/>
            </w:pPr>
            <w:r/>
            <w:r>
              <w:rPr>
                <w:rFonts w:ascii="Aptos" w:hAnsi="Aptos"/>
                <w:b/>
                <w:color w:val="FFFFFF"/>
                <w:sz w:val="17"/>
              </w:rPr>
              <w:t>Open item</w:t>
            </w:r>
          </w:p>
        </w:tc>
        <w:tc>
          <w:tcPr>
            <w:tcW w:type="dxa" w:w="3389"/>
            <w:shd w:fill="762D3A"/>
          </w:tcPr>
          <w:p>
            <w:pPr>
              <w:spacing w:after="0"/>
            </w:pPr>
            <w:r/>
            <w:r>
              <w:rPr>
                <w:rFonts w:ascii="Aptos" w:hAnsi="Aptos"/>
                <w:b/>
                <w:color w:val="FFFFFF"/>
                <w:sz w:val="17"/>
              </w:rPr>
              <w:t>Current handling</w:t>
            </w:r>
          </w:p>
        </w:tc>
        <w:tc>
          <w:tcPr>
            <w:tcW w:type="dxa" w:w="3389"/>
            <w:shd w:fill="762D3A"/>
          </w:tcPr>
          <w:p>
            <w:pPr>
              <w:spacing w:after="0"/>
            </w:pPr>
            <w:r/>
            <w:r>
              <w:rPr>
                <w:rFonts w:ascii="Aptos" w:hAnsi="Aptos"/>
                <w:b/>
                <w:color w:val="FFFFFF"/>
                <w:sz w:val="17"/>
              </w:rPr>
              <w:t>Where it matters</w:t>
            </w:r>
          </w:p>
        </w:tc>
      </w:tr>
      <w:tr>
        <w:trPr>
          <w:cantSplit/>
        </w:trPr>
        <w:tc>
          <w:tcPr>
            <w:tcW w:type="dxa" w:w="3389"/>
          </w:tcPr>
          <w:p>
            <w:pPr>
              <w:spacing w:after="0"/>
            </w:pPr>
            <w:r/>
            <w:r>
              <w:rPr>
                <w:rFonts w:ascii="Aptos" w:hAnsi="Aptos"/>
                <w:b w:val="0"/>
                <w:sz w:val="16"/>
              </w:rPr>
              <w:t>Exact Purāṇic provenance of the twenty-verse manifestation unit</w:t>
            </w:r>
          </w:p>
        </w:tc>
        <w:tc>
          <w:tcPr>
            <w:tcW w:type="dxa" w:w="3389"/>
          </w:tcPr>
          <w:p>
            <w:pPr>
              <w:spacing w:after="0"/>
            </w:pPr>
            <w:r/>
            <w:r>
              <w:rPr>
                <w:rFonts w:ascii="Aptos" w:hAnsi="Aptos"/>
                <w:b w:val="0"/>
                <w:sz w:val="16"/>
              </w:rPr>
              <w:t>Keep as “Purāṇic account preserved/transmitted by Viśvanātha” until independently established.</w:t>
            </w:r>
          </w:p>
        </w:tc>
        <w:tc>
          <w:tcPr>
            <w:tcW w:type="dxa" w:w="3389"/>
          </w:tcPr>
          <w:p>
            <w:pPr>
              <w:spacing w:after="0"/>
            </w:pPr>
            <w:r/>
            <w:r>
              <w:rPr>
                <w:rFonts w:ascii="Aptos" w:hAnsi="Aptos"/>
                <w:b w:val="0"/>
                <w:sz w:val="16"/>
              </w:rPr>
              <w:t>Sections 3–4; source note.</w:t>
            </w:r>
          </w:p>
        </w:tc>
      </w:tr>
      <w:tr>
        <w:trPr>
          <w:cantSplit/>
        </w:trPr>
        <w:tc>
          <w:tcPr>
            <w:tcW w:type="dxa" w:w="3389"/>
          </w:tcPr>
          <w:p>
            <w:pPr>
              <w:spacing w:after="0"/>
            </w:pPr>
            <w:r/>
            <w:r>
              <w:rPr>
                <w:rFonts w:ascii="Aptos" w:hAnsi="Aptos"/>
                <w:b w:val="0"/>
                <w:sz w:val="16"/>
              </w:rPr>
              <w:t>Publication-quality Bengali Bhakti-ratnākara for Jāhnavā 11.150–189</w:t>
            </w:r>
          </w:p>
        </w:tc>
        <w:tc>
          <w:tcPr>
            <w:tcW w:type="dxa" w:w="3389"/>
          </w:tcPr>
          <w:p>
            <w:pPr>
              <w:spacing w:after="0"/>
            </w:pPr>
            <w:r/>
            <w:r>
              <w:rPr>
                <w:rFonts w:ascii="Aptos" w:hAnsi="Aptos"/>
                <w:b w:val="0"/>
                <w:sz w:val="16"/>
              </w:rPr>
              <w:t>Narrate from the controlled ledger and cite locus; avoid a long direct Bengali quotation until verified.</w:t>
            </w:r>
          </w:p>
        </w:tc>
        <w:tc>
          <w:tcPr>
            <w:tcW w:type="dxa" w:w="3389"/>
          </w:tcPr>
          <w:p>
            <w:pPr>
              <w:spacing w:after="0"/>
            </w:pPr>
            <w:r/>
            <w:r>
              <w:rPr>
                <w:rFonts w:ascii="Aptos" w:hAnsi="Aptos"/>
                <w:b w:val="0"/>
                <w:sz w:val="16"/>
              </w:rPr>
              <w:t>Section 11.</w:t>
            </w:r>
          </w:p>
        </w:tc>
      </w:tr>
      <w:tr>
        <w:trPr>
          <w:cantSplit/>
        </w:trPr>
        <w:tc>
          <w:tcPr>
            <w:tcW w:type="dxa" w:w="3389"/>
          </w:tcPr>
          <w:p>
            <w:pPr>
              <w:spacing w:after="0"/>
            </w:pPr>
            <w:r/>
            <w:r>
              <w:rPr>
                <w:rFonts w:ascii="Aptos" w:hAnsi="Aptos"/>
                <w:b w:val="0"/>
                <w:sz w:val="16"/>
              </w:rPr>
              <w:t>Earliest secure use of “Śyāma-kuṇḍa”</w:t>
            </w:r>
          </w:p>
        </w:tc>
        <w:tc>
          <w:tcPr>
            <w:tcW w:type="dxa" w:w="3389"/>
          </w:tcPr>
          <w:p>
            <w:pPr>
              <w:spacing w:after="0"/>
            </w:pPr>
            <w:r/>
            <w:r>
              <w:rPr>
                <w:rFonts w:ascii="Aptos" w:hAnsi="Aptos"/>
                <w:b w:val="0"/>
                <w:sz w:val="16"/>
              </w:rPr>
              <w:t>Use source-specific early names; explain common later name.</w:t>
            </w:r>
          </w:p>
        </w:tc>
        <w:tc>
          <w:tcPr>
            <w:tcW w:type="dxa" w:w="3389"/>
          </w:tcPr>
          <w:p>
            <w:pPr>
              <w:spacing w:after="0"/>
            </w:pPr>
            <w:r/>
            <w:r>
              <w:rPr>
                <w:rFonts w:ascii="Aptos" w:hAnsi="Aptos"/>
                <w:b w:val="0"/>
                <w:sz w:val="16"/>
              </w:rPr>
              <w:t>Sections 1, 3, 5, 10.</w:t>
            </w:r>
          </w:p>
        </w:tc>
      </w:tr>
      <w:tr>
        <w:trPr>
          <w:cantSplit/>
        </w:trPr>
        <w:tc>
          <w:tcPr>
            <w:tcW w:type="dxa" w:w="3389"/>
          </w:tcPr>
          <w:p>
            <w:pPr>
              <w:spacing w:after="0"/>
            </w:pPr>
            <w:r/>
            <w:r>
              <w:rPr>
                <w:rFonts w:ascii="Aptos" w:hAnsi="Aptos"/>
                <w:b w:val="0"/>
                <w:sz w:val="16"/>
              </w:rPr>
              <w:t>GL 7.111 philology / sakhā-kuñja assignment rationale</w:t>
            </w:r>
          </w:p>
        </w:tc>
        <w:tc>
          <w:tcPr>
            <w:tcW w:type="dxa" w:w="3389"/>
          </w:tcPr>
          <w:p>
            <w:pPr>
              <w:spacing w:after="0"/>
            </w:pPr>
            <w:r/>
            <w:r>
              <w:rPr>
                <w:rFonts w:ascii="Aptos" w:hAnsi="Aptos"/>
                <w:b w:val="0"/>
                <w:sz w:val="16"/>
              </w:rPr>
              <w:t>Keep unresolved in specialist note unless needed; do not over-explain.</w:t>
            </w:r>
          </w:p>
        </w:tc>
        <w:tc>
          <w:tcPr>
            <w:tcW w:type="dxa" w:w="3389"/>
          </w:tcPr>
          <w:p>
            <w:pPr>
              <w:spacing w:after="0"/>
            </w:pPr>
            <w:r/>
            <w:r>
              <w:rPr>
                <w:rFonts w:ascii="Aptos" w:hAnsi="Aptos"/>
                <w:b w:val="0"/>
                <w:sz w:val="16"/>
              </w:rPr>
              <w:t>Sections 5 and 7.</w:t>
            </w:r>
          </w:p>
        </w:tc>
      </w:tr>
      <w:tr>
        <w:trPr>
          <w:cantSplit/>
        </w:trPr>
        <w:tc>
          <w:tcPr>
            <w:tcW w:type="dxa" w:w="3389"/>
          </w:tcPr>
          <w:p>
            <w:pPr>
              <w:spacing w:after="0"/>
            </w:pPr>
            <w:r/>
            <w:r>
              <w:rPr>
                <w:rFonts w:ascii="Aptos" w:hAnsi="Aptos"/>
                <w:b w:val="0"/>
                <w:sz w:val="16"/>
              </w:rPr>
              <w:t>Jāhnavā Ghāṭ / baithak / tree exact early localization</w:t>
            </w:r>
          </w:p>
        </w:tc>
        <w:tc>
          <w:tcPr>
            <w:tcW w:type="dxa" w:w="3389"/>
          </w:tcPr>
          <w:p>
            <w:pPr>
              <w:spacing w:after="0"/>
            </w:pPr>
            <w:r/>
            <w:r>
              <w:rPr>
                <w:rFonts w:ascii="Aptos" w:hAnsi="Aptos"/>
                <w:b w:val="0"/>
                <w:sz w:val="16"/>
              </w:rPr>
              <w:t>Treat as later/local unless older evidence is found.</w:t>
            </w:r>
          </w:p>
        </w:tc>
        <w:tc>
          <w:tcPr>
            <w:tcW w:type="dxa" w:w="3389"/>
          </w:tcPr>
          <w:p>
            <w:pPr>
              <w:spacing w:after="0"/>
            </w:pPr>
            <w:r/>
            <w:r>
              <w:rPr>
                <w:rFonts w:ascii="Aptos" w:hAnsi="Aptos"/>
                <w:b w:val="0"/>
                <w:sz w:val="16"/>
              </w:rPr>
              <w:t>Sections 11 and 13.</w:t>
            </w:r>
          </w:p>
        </w:tc>
      </w:tr>
      <w:tr>
        <w:trPr>
          <w:cantSplit/>
        </w:trPr>
        <w:tc>
          <w:tcPr>
            <w:tcW w:type="dxa" w:w="3389"/>
          </w:tcPr>
          <w:p>
            <w:pPr>
              <w:spacing w:after="0"/>
            </w:pPr>
            <w:r/>
            <w:r>
              <w:rPr>
                <w:rFonts w:ascii="Aptos" w:hAnsi="Aptos"/>
                <w:b w:val="0"/>
                <w:sz w:val="16"/>
              </w:rPr>
              <w:t>Survey of India sheet 54 E/6</w:t>
            </w:r>
          </w:p>
        </w:tc>
        <w:tc>
          <w:tcPr>
            <w:tcW w:type="dxa" w:w="3389"/>
          </w:tcPr>
          <w:p>
            <w:pPr>
              <w:spacing w:after="0"/>
            </w:pPr>
            <w:r/>
            <w:r>
              <w:rPr>
                <w:rFonts w:ascii="Aptos" w:hAnsi="Aptos"/>
                <w:b w:val="0"/>
                <w:sz w:val="16"/>
              </w:rPr>
              <w:t>Do not draw an authoritative historical footprint map without it; use available D chronology textually.</w:t>
            </w:r>
          </w:p>
        </w:tc>
        <w:tc>
          <w:tcPr>
            <w:tcW w:type="dxa" w:w="3389"/>
          </w:tcPr>
          <w:p>
            <w:pPr>
              <w:spacing w:after="0"/>
            </w:pPr>
            <w:r/>
            <w:r>
              <w:rPr>
                <w:rFonts w:ascii="Aptos" w:hAnsi="Aptos"/>
                <w:b w:val="0"/>
                <w:sz w:val="16"/>
              </w:rPr>
              <w:t>Section 12 and historical maps.</w:t>
            </w:r>
          </w:p>
        </w:tc>
      </w:tr>
      <w:tr>
        <w:trPr>
          <w:cantSplit/>
        </w:trPr>
        <w:tc>
          <w:tcPr>
            <w:tcW w:type="dxa" w:w="3389"/>
          </w:tcPr>
          <w:p>
            <w:pPr>
              <w:spacing w:after="0"/>
            </w:pPr>
            <w:r/>
            <w:r>
              <w:rPr>
                <w:rFonts w:ascii="Aptos" w:hAnsi="Aptos"/>
                <w:b w:val="0"/>
                <w:sz w:val="16"/>
              </w:rPr>
              <w:t>Exact chronology of ghāṭs, causeway, channels, wells, and major temples</w:t>
            </w:r>
          </w:p>
        </w:tc>
        <w:tc>
          <w:tcPr>
            <w:tcW w:type="dxa" w:w="3389"/>
          </w:tcPr>
          <w:p>
            <w:pPr>
              <w:spacing w:after="0"/>
            </w:pPr>
            <w:r/>
            <w:r>
              <w:rPr>
                <w:rFonts w:ascii="Aptos" w:hAnsi="Aptos"/>
                <w:b w:val="0"/>
                <w:sz w:val="16"/>
              </w:rPr>
              <w:t>Run a short RK-05 consolidation pass from existing D sources before finalizing.</w:t>
            </w:r>
          </w:p>
        </w:tc>
        <w:tc>
          <w:tcPr>
            <w:tcW w:type="dxa" w:w="3389"/>
          </w:tcPr>
          <w:p>
            <w:pPr>
              <w:spacing w:after="0"/>
            </w:pPr>
            <w:r/>
            <w:r>
              <w:rPr>
                <w:rFonts w:ascii="Aptos" w:hAnsi="Aptos"/>
                <w:b w:val="0"/>
                <w:sz w:val="16"/>
              </w:rPr>
              <w:t>Section 12; Section 13.</w:t>
            </w:r>
          </w:p>
        </w:tc>
      </w:tr>
      <w:tr>
        <w:trPr>
          <w:cantSplit/>
        </w:trPr>
        <w:tc>
          <w:tcPr>
            <w:tcW w:type="dxa" w:w="3389"/>
          </w:tcPr>
          <w:p>
            <w:pPr>
              <w:spacing w:after="0"/>
            </w:pPr>
            <w:r/>
            <w:r>
              <w:rPr>
                <w:rFonts w:ascii="Aptos" w:hAnsi="Aptos"/>
                <w:b w:val="0"/>
                <w:sz w:val="16"/>
              </w:rPr>
              <w:t>Present-day access/signage/condition</w:t>
            </w:r>
          </w:p>
        </w:tc>
        <w:tc>
          <w:tcPr>
            <w:tcW w:type="dxa" w:w="3389"/>
          </w:tcPr>
          <w:p>
            <w:pPr>
              <w:spacing w:after="0"/>
            </w:pPr>
            <w:r/>
            <w:r>
              <w:rPr>
                <w:rFonts w:ascii="Aptos" w:hAnsi="Aptos"/>
                <w:b w:val="0"/>
                <w:sz w:val="16"/>
              </w:rPr>
              <w:t>Verify by fieldwork/current observation rather than old books.</w:t>
            </w:r>
          </w:p>
        </w:tc>
        <w:tc>
          <w:tcPr>
            <w:tcW w:type="dxa" w:w="3389"/>
          </w:tcPr>
          <w:p>
            <w:pPr>
              <w:spacing w:after="0"/>
            </w:pPr>
            <w:r/>
            <w:r>
              <w:rPr>
                <w:rFonts w:ascii="Aptos" w:hAnsi="Aptos"/>
                <w:b w:val="0"/>
                <w:sz w:val="16"/>
              </w:rPr>
              <w:t>Section 13 and walking itinerary.</w:t>
            </w:r>
          </w:p>
        </w:tc>
      </w:tr>
    </w:tbl>
    <w:p>
      <w:pPr>
        <w:pStyle w:val="Heading1"/>
      </w:pPr>
      <w:r>
        <w:t>10. Maps and visual apparatus: keep three geographies separate</w:t>
      </w:r>
    </w:p>
    <w:p>
      <w:pPr>
        <w:ind w:left="259" w:hanging="259"/>
      </w:pPr>
      <w:r>
        <w:rPr>
          <w:b/>
        </w:rPr>
        <w:t xml:space="preserve">1. Nitya-līlā/textual map. </w:t>
      </w:r>
      <w:r>
        <w:t>Built primarily from Govinda-līlāmṛta, Kṛṣṇa-bhāvanāmṛta, Rādhā-kuṇḍāṣṭaka, Vraja-rīti-cintāmaṇi, and RK-02. This map may show directional kuñjas, saṅgama/setu, Anaṅga Mañjarī center, and route concepts. It must not use modern cadastral boundaries as if they were eternal sectors.</w:t>
      </w:r>
    </w:p>
    <w:p>
      <w:pPr>
        <w:ind w:left="259" w:hanging="259"/>
      </w:pPr>
      <w:r>
        <w:rPr>
          <w:b/>
        </w:rPr>
        <w:t xml:space="preserve">2. Early pilgrimage/localization map. </w:t>
      </w:r>
      <w:r>
        <w:t>Built from Vraja-bhakti-vilāsa, Bhakti-ratnākara, and RK-04. This map may show Mānasa-pāvana, Pāṇḍava trees, kuṭīra memories, and guided parikramā stops where the B-level source explicitly locates them.</w:t>
      </w:r>
    </w:p>
    <w:p>
      <w:pPr>
        <w:ind w:left="259" w:hanging="259"/>
      </w:pPr>
      <w:r>
        <w:rPr>
          <w:b/>
        </w:rPr>
        <w:t xml:space="preserve">3. Historical/present physical map. </w:t>
      </w:r>
      <w:r>
        <w:t>Built from deeds, D-level scholarship, historical maps, field verification, and current site data. The missing Survey of India sheet limits exact historical reconstruction but does not prevent a later present-day map once locations are verified.</w:t>
      </w:r>
    </w:p>
    <w:tbl>
      <w:tblPr>
        <w:tblW w:type="auto" w:w="0"/>
        <w:jc w:val="center"/>
        <w:tblLayout w:type="autofit"/>
        <w:tblLook w:firstColumn="1" w:firstRow="1" w:lastColumn="0" w:lastRow="0" w:noHBand="0" w:noVBand="1" w:val="04A0"/>
      </w:tblPr>
      <w:tblGrid>
        <w:gridCol w:w="10166"/>
      </w:tblGrid>
      <w:tr>
        <w:tc>
          <w:tcPr>
            <w:tcW w:type="dxa" w:w="10166"/>
            <w:shd w:fill="F7E8E8"/>
          </w:tcPr>
          <w:p>
            <w:pPr>
              <w:spacing w:before="40" w:after="40"/>
            </w:pPr>
            <w:r>
              <w:rPr>
                <w:b/>
                <w:color w:val="762D3A"/>
              </w:rPr>
              <w:t xml:space="preserve">VISUAL RULE  </w:t>
            </w:r>
            <w:r>
              <w:t>Illustrations may evoke the devotional world, but maps are evidentiary objects. Never solve a source conflict by drawing a confident map.</w:t>
            </w:r>
          </w:p>
        </w:tc>
      </w:tr>
    </w:tbl>
    <w:p>
      <w:pPr>
        <w:spacing w:after="0"/>
      </w:pPr>
    </w:p>
    <w:p>
      <w:pPr>
        <w:pStyle w:val="Heading1"/>
      </w:pPr>
      <w:r>
        <w:t>11. Recommended drafting sequence</w:t>
      </w:r>
    </w:p>
    <w:p>
      <w:r>
        <w:t>The literary order and the drafting order do not have to be identical. To preserve momentum and minimize source-switching, draft in the following sequence:</w:t>
      </w:r>
    </w:p>
    <w:p>
      <w:pPr>
        <w:ind w:left="259" w:hanging="259"/>
      </w:pPr>
      <w:r>
        <w:rPr>
          <w:b/>
        </w:rPr>
        <w:t xml:space="preserve">1. First wave: core story. </w:t>
      </w:r>
      <w:r>
        <w:t>Sections 1 → 2 → 3 → 4. This establishes the opening voice and the manifestation/theology nucleus.</w:t>
      </w:r>
    </w:p>
    <w:p>
      <w:pPr>
        <w:ind w:left="259" w:hanging="259"/>
      </w:pPr>
      <w:r>
        <w:rPr>
          <w:b/>
        </w:rPr>
        <w:t xml:space="preserve">2. Second wave: nitya-līlā world. </w:t>
      </w:r>
      <w:r>
        <w:t>Sections 5 → 6 → 7. These three should be written together because geography, movement, and people constantly cross-reference one another.</w:t>
      </w:r>
    </w:p>
    <w:p>
      <w:pPr>
        <w:ind w:left="259" w:hanging="259"/>
      </w:pPr>
      <w:r>
        <w:rPr>
          <w:b/>
        </w:rPr>
        <w:t xml:space="preserve">3. Third wave: Gauḍīya history. </w:t>
      </w:r>
      <w:r>
        <w:t>Sections 8 → 9 → 10 → 11. This is a continuous historical movement from obscurity to recognition, residence, and community.</w:t>
      </w:r>
    </w:p>
    <w:p>
      <w:pPr>
        <w:ind w:left="259" w:hanging="259"/>
      </w:pPr>
      <w:r>
        <w:rPr>
          <w:b/>
        </w:rPr>
        <w:t xml:space="preserve">4. Short historical consolidation. </w:t>
      </w:r>
      <w:r>
        <w:t>Before Section 12, build a compact RK-05 chronology from the D sources already in the library. Do not reopen broad source hunting unless a specific claim requires it.</w:t>
      </w:r>
    </w:p>
    <w:p>
      <w:pPr>
        <w:ind w:left="259" w:hanging="259"/>
      </w:pPr>
      <w:r>
        <w:rPr>
          <w:b/>
        </w:rPr>
        <w:t xml:space="preserve">5. Fourth wave: physical/present layers. </w:t>
      </w:r>
      <w:r>
        <w:t>Section 12 provisional; Section 13 after current/field verification.</w:t>
      </w:r>
    </w:p>
    <w:p>
      <w:pPr>
        <w:ind w:left="259" w:hanging="259"/>
      </w:pPr>
      <w:r>
        <w:rPr>
          <w:b/>
        </w:rPr>
        <w:t xml:space="preserve">6. Last. </w:t>
      </w:r>
      <w:r>
        <w:t>Section 14 only after the chapter’s core is stable, so it can genuinely gather what the book has shown.</w:t>
      </w:r>
    </w:p>
    <w:tbl>
      <w:tblPr>
        <w:tblW w:type="auto" w:w="0"/>
        <w:jc w:val="center"/>
        <w:tblLayout w:type="autofit"/>
        <w:tblLook w:firstColumn="1" w:firstRow="1" w:lastColumn="0" w:lastRow="0" w:noHBand="0" w:noVBand="1" w:val="04A0"/>
      </w:tblPr>
      <w:tblGrid>
        <w:gridCol w:w="10166"/>
      </w:tblGrid>
      <w:tr>
        <w:tc>
          <w:tcPr>
            <w:tcW w:type="dxa" w:w="10166"/>
            <w:shd w:fill="E8F1E7"/>
          </w:tcPr>
          <w:p>
            <w:pPr>
              <w:spacing w:before="40" w:after="40"/>
            </w:pPr>
            <w:r>
              <w:rPr>
                <w:b/>
                <w:color w:val="762D3A"/>
              </w:rPr>
              <w:t xml:space="preserve">IMMEDIATE NEXT ACTION  </w:t>
            </w:r>
            <w:r>
              <w:t>Draft RKST-01 — “At the Foot of Govardhana: The Two Waters.” Before writing its prose, make a one-page source card with the exact Upadeśāmṛta 9–11 and Mathurā-māhātmya 418–423 quotations we intend to use, then write the opening as literature rather than as notes.</w:t>
            </w:r>
          </w:p>
        </w:tc>
      </w:tr>
    </w:tbl>
    <w:p>
      <w:pPr>
        <w:spacing w:after="0"/>
      </w:pPr>
    </w:p>
    <w:p>
      <w:pPr>
        <w:pStyle w:val="Heading1"/>
      </w:pPr>
      <w:r>
        <w:t>12. Standard template for every section document</w:t>
      </w:r>
    </w:p>
    <w:p>
      <w:r>
        <w:t>Each section DOCX should follow the same internal structure while it is in development:</w:t>
      </w:r>
    </w:p>
    <w:p>
      <w:pPr>
        <w:ind w:left="259" w:hanging="259"/>
      </w:pPr>
      <w:r>
        <w:rPr>
          <w:b/>
        </w:rPr>
        <w:t xml:space="preserve">1. Title and status strip. </w:t>
      </w:r>
      <w:r>
        <w:t>Section number, working title, version, date, and “Draft / approved” status.</w:t>
      </w:r>
    </w:p>
    <w:p>
      <w:pPr>
        <w:ind w:left="259" w:hanging="259"/>
      </w:pPr>
      <w:r>
        <w:rPr>
          <w:b/>
        </w:rPr>
        <w:t xml:space="preserve">2. Reader-facing prose. </w:t>
      </w:r>
      <w:r>
        <w:t>The actual chapter section. No A/B/C/D tags interrupting the prose unless the distinction itself is part of the sentence.</w:t>
      </w:r>
    </w:p>
    <w:p>
      <w:pPr>
        <w:ind w:left="259" w:hanging="259"/>
      </w:pPr>
      <w:r>
        <w:rPr>
          <w:b/>
        </w:rPr>
        <w:t xml:space="preserve">3. Source notes. </w:t>
      </w:r>
      <w:r>
        <w:t>Exact loci for every major claim; primary text first, then early pilgrimage, later/local, documentary.</w:t>
      </w:r>
    </w:p>
    <w:p>
      <w:pPr>
        <w:ind w:left="259" w:hanging="259"/>
      </w:pPr>
      <w:r>
        <w:rPr>
          <w:b/>
        </w:rPr>
        <w:t xml:space="preserve">4. Quotation ledger. </w:t>
      </w:r>
      <w:r>
        <w:t>Original-language quotation, checked witness, translation, and whether it is intended to remain in final prose or only in notes.</w:t>
      </w:r>
    </w:p>
    <w:p>
      <w:pPr>
        <w:ind w:left="259" w:hanging="259"/>
      </w:pPr>
      <w:r>
        <w:rPr>
          <w:b/>
        </w:rPr>
        <w:t xml:space="preserve">5. Claim discipline. </w:t>
      </w:r>
      <w:r>
        <w:t>List any tempting claims deliberately omitted, softened, or attributed to a later tradition.</w:t>
      </w:r>
    </w:p>
    <w:p>
      <w:pPr>
        <w:ind w:left="259" w:hanging="259"/>
      </w:pPr>
      <w:r>
        <w:rPr>
          <w:b/>
        </w:rPr>
        <w:t xml:space="preserve">6. Open items. </w:t>
      </w:r>
      <w:r>
        <w:t>Only items that materially affect this section. Do not copy the entire project’s unresolved-question list into every file.</w:t>
      </w:r>
    </w:p>
    <w:p>
      <w:pPr>
        <w:ind w:left="259" w:hanging="259"/>
      </w:pPr>
      <w:r>
        <w:rPr>
          <w:b/>
        </w:rPr>
        <w:t xml:space="preserve">7. Cross-references. </w:t>
      </w:r>
      <w:r>
        <w:t>What earlier/later sections this one should echo so the final chapter feels continuous rather than modular.</w:t>
      </w:r>
    </w:p>
    <w:p>
      <w:pPr>
        <w:pStyle w:val="Heading1"/>
      </w:pPr>
      <w:r>
        <w:t>13. Language controls for recurring difficult claims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762D3A"/>
          </w:tcPr>
          <w:p>
            <w:pPr>
              <w:spacing w:after="0"/>
            </w:pPr>
            <w:r/>
            <w:r>
              <w:rPr>
                <w:rFonts w:ascii="Aptos" w:hAnsi="Aptos"/>
                <w:b/>
                <w:color w:val="FFFFFF"/>
                <w:sz w:val="17"/>
              </w:rPr>
              <w:t>Instead of…</w:t>
            </w:r>
          </w:p>
        </w:tc>
        <w:tc>
          <w:tcPr>
            <w:tcW w:type="dxa" w:w="3389"/>
            <w:shd w:fill="762D3A"/>
          </w:tcPr>
          <w:p>
            <w:pPr>
              <w:spacing w:after="0"/>
            </w:pPr>
            <w:r/>
            <w:r>
              <w:rPr>
                <w:rFonts w:ascii="Aptos" w:hAnsi="Aptos"/>
                <w:b/>
                <w:color w:val="FFFFFF"/>
                <w:sz w:val="17"/>
              </w:rPr>
              <w:t>Prefer…</w:t>
            </w:r>
          </w:p>
        </w:tc>
        <w:tc>
          <w:tcPr>
            <w:tcW w:type="dxa" w:w="3389"/>
            <w:shd w:fill="762D3A"/>
          </w:tcPr>
          <w:p>
            <w:pPr>
              <w:spacing w:after="0"/>
            </w:pPr>
            <w:r/>
            <w:r>
              <w:rPr>
                <w:rFonts w:ascii="Aptos" w:hAnsi="Aptos"/>
                <w:b/>
                <w:color w:val="FFFFFF"/>
                <w:sz w:val="17"/>
              </w:rPr>
              <w:t>Reason</w:t>
            </w:r>
          </w:p>
        </w:tc>
      </w:tr>
      <w:tr>
        <w:trPr>
          <w:cantSplit/>
        </w:trPr>
        <w:tc>
          <w:tcPr>
            <w:tcW w:type="dxa" w:w="3389"/>
          </w:tcPr>
          <w:p>
            <w:pPr>
              <w:spacing w:after="0"/>
            </w:pPr>
            <w:r/>
            <w:r>
              <w:rPr>
                <w:rFonts w:ascii="Aptos" w:hAnsi="Aptos"/>
                <w:b w:val="0"/>
                <w:sz w:val="16"/>
              </w:rPr>
              <w:t>“The Bhāgavatam tells how Rādhā-kuṇḍa appeared.”</w:t>
            </w:r>
          </w:p>
        </w:tc>
        <w:tc>
          <w:tcPr>
            <w:tcW w:type="dxa" w:w="3389"/>
          </w:tcPr>
          <w:p>
            <w:pPr>
              <w:spacing w:after="0"/>
            </w:pPr>
            <w:r/>
            <w:r>
              <w:rPr>
                <w:rFonts w:ascii="Aptos" w:hAnsi="Aptos"/>
                <w:b w:val="0"/>
                <w:sz w:val="16"/>
              </w:rPr>
              <w:t>“The Bhāgavatam supplies the Ariṣṭāsura foundation; the fuller manifestation is preserved in Gauḍīya commentarial transmission.”</w:t>
            </w:r>
          </w:p>
        </w:tc>
        <w:tc>
          <w:tcPr>
            <w:tcW w:type="dxa" w:w="3389"/>
          </w:tcPr>
          <w:p>
            <w:pPr>
              <w:spacing w:after="0"/>
            </w:pPr>
            <w:r/>
            <w:r>
              <w:rPr>
                <w:rFonts w:ascii="Aptos" w:hAnsi="Aptos"/>
                <w:b w:val="0"/>
                <w:sz w:val="16"/>
              </w:rPr>
              <w:t>Preserves the root-text boundary.</w:t>
            </w:r>
          </w:p>
        </w:tc>
      </w:tr>
      <w:tr>
        <w:trPr>
          <w:cantSplit/>
        </w:trPr>
        <w:tc>
          <w:tcPr>
            <w:tcW w:type="dxa" w:w="3389"/>
          </w:tcPr>
          <w:p>
            <w:pPr>
              <w:spacing w:after="0"/>
            </w:pPr>
            <w:r/>
            <w:r>
              <w:rPr>
                <w:rFonts w:ascii="Aptos" w:hAnsi="Aptos"/>
                <w:b w:val="0"/>
                <w:sz w:val="16"/>
              </w:rPr>
              <w:t>“Kṛṣṇa became sinful by killing a bull.”</w:t>
            </w:r>
          </w:p>
        </w:tc>
        <w:tc>
          <w:tcPr>
            <w:tcW w:type="dxa" w:w="3389"/>
          </w:tcPr>
          <w:p>
            <w:pPr>
              <w:spacing w:after="0"/>
            </w:pPr>
            <w:r/>
            <w:r>
              <w:rPr>
                <w:rFonts w:ascii="Aptos" w:hAnsi="Aptos"/>
                <w:b w:val="0"/>
                <w:sz w:val="16"/>
              </w:rPr>
              <w:t>“Rādhā playfully charged Kṛṣṇa in the language of dharma…”</w:t>
            </w:r>
          </w:p>
        </w:tc>
        <w:tc>
          <w:tcPr>
            <w:tcW w:type="dxa" w:w="3389"/>
          </w:tcPr>
          <w:p>
            <w:pPr>
              <w:spacing w:after="0"/>
            </w:pPr>
            <w:r/>
            <w:r>
              <w:rPr>
                <w:rFonts w:ascii="Aptos" w:hAnsi="Aptos"/>
                <w:b w:val="0"/>
                <w:sz w:val="16"/>
              </w:rPr>
              <w:t>RKA 1: narma-dharmokti-raṅgaiḥ.</w:t>
            </w:r>
          </w:p>
        </w:tc>
      </w:tr>
      <w:tr>
        <w:trPr>
          <w:cantSplit/>
        </w:trPr>
        <w:tc>
          <w:tcPr>
            <w:tcW w:type="dxa" w:w="3389"/>
          </w:tcPr>
          <w:p>
            <w:pPr>
              <w:spacing w:after="0"/>
            </w:pPr>
            <w:r/>
            <w:r>
              <w:rPr>
                <w:rFonts w:ascii="Aptos" w:hAnsi="Aptos"/>
                <w:b w:val="0"/>
                <w:sz w:val="16"/>
              </w:rPr>
              <w:t>“The gopīs dug Rādhā-kuṇḍa with their bangles.”</w:t>
            </w:r>
          </w:p>
        </w:tc>
        <w:tc>
          <w:tcPr>
            <w:tcW w:type="dxa" w:w="3389"/>
          </w:tcPr>
          <w:p>
            <w:pPr>
              <w:spacing w:after="0"/>
            </w:pPr>
            <w:r/>
            <w:r>
              <w:rPr>
                <w:rFonts w:ascii="Aptos" w:hAnsi="Aptos"/>
                <w:b w:val="0"/>
                <w:sz w:val="16"/>
              </w:rPr>
              <w:t>“Rādhā and Her sakhīs manifested/excavated the lake with their own hands.”</w:t>
            </w:r>
          </w:p>
        </w:tc>
        <w:tc>
          <w:tcPr>
            <w:tcW w:type="dxa" w:w="3389"/>
          </w:tcPr>
          <w:p>
            <w:pPr>
              <w:spacing w:after="0"/>
            </w:pPr>
            <w:r/>
            <w:r>
              <w:rPr>
                <w:rFonts w:ascii="Aptos" w:hAnsi="Aptos"/>
                <w:b w:val="0"/>
                <w:sz w:val="16"/>
              </w:rPr>
              <w:t>Controlled early wording; bangles require separate source.</w:t>
            </w:r>
          </w:p>
        </w:tc>
      </w:tr>
      <w:tr>
        <w:trPr>
          <w:cantSplit/>
        </w:trPr>
        <w:tc>
          <w:tcPr>
            <w:tcW w:type="dxa" w:w="3389"/>
          </w:tcPr>
          <w:p>
            <w:pPr>
              <w:spacing w:after="0"/>
            </w:pPr>
            <w:r/>
            <w:r>
              <w:rPr>
                <w:rFonts w:ascii="Aptos" w:hAnsi="Aptos"/>
                <w:b w:val="0"/>
                <w:sz w:val="16"/>
              </w:rPr>
              <w:t>“Mahāprabhu discovered Rādhā-kuṇḍa.”</w:t>
            </w:r>
          </w:p>
        </w:tc>
        <w:tc>
          <w:tcPr>
            <w:tcW w:type="dxa" w:w="3389"/>
          </w:tcPr>
          <w:p>
            <w:pPr>
              <w:spacing w:after="0"/>
            </w:pPr>
            <w:r/>
            <w:r>
              <w:rPr>
                <w:rFonts w:ascii="Aptos" w:hAnsi="Aptos"/>
                <w:b w:val="0"/>
                <w:sz w:val="16"/>
              </w:rPr>
              <w:t>“Mahāprabhu recognized/reidentified the obscured tīrtha at Āriṭ-grāma.”</w:t>
            </w:r>
          </w:p>
        </w:tc>
        <w:tc>
          <w:tcPr>
            <w:tcW w:type="dxa" w:w="3389"/>
          </w:tcPr>
          <w:p>
            <w:pPr>
              <w:spacing w:after="0"/>
            </w:pPr>
            <w:r/>
            <w:r>
              <w:rPr>
                <w:rFonts w:ascii="Aptos" w:hAnsi="Aptos"/>
                <w:b w:val="0"/>
                <w:sz w:val="16"/>
              </w:rPr>
              <w:t>CC 18.5 says lupta + bath, not excavation.</w:t>
            </w:r>
          </w:p>
        </w:tc>
      </w:tr>
      <w:tr>
        <w:trPr>
          <w:cantSplit/>
        </w:trPr>
        <w:tc>
          <w:tcPr>
            <w:tcW w:type="dxa" w:w="3389"/>
          </w:tcPr>
          <w:p>
            <w:pPr>
              <w:spacing w:after="0"/>
            </w:pPr>
            <w:r/>
            <w:r>
              <w:rPr>
                <w:rFonts w:ascii="Aptos" w:hAnsi="Aptos"/>
                <w:b w:val="0"/>
                <w:sz w:val="16"/>
              </w:rPr>
              <w:t>“Raghunātha built Rādhā-kuṇḍa.”</w:t>
            </w:r>
          </w:p>
        </w:tc>
        <w:tc>
          <w:tcPr>
            <w:tcW w:type="dxa" w:w="3389"/>
          </w:tcPr>
          <w:p>
            <w:pPr>
              <w:spacing w:after="0"/>
            </w:pPr>
            <w:r/>
            <w:r>
              <w:rPr>
                <w:rFonts w:ascii="Aptos" w:hAnsi="Aptos"/>
                <w:b w:val="0"/>
                <w:sz w:val="16"/>
              </w:rPr>
              <w:t>“According to Bhakti-ratnākara, Raghunātha directed a substantial desilting/excavation-restoration of the twin kuṇḍas.”</w:t>
            </w:r>
          </w:p>
        </w:tc>
        <w:tc>
          <w:tcPr>
            <w:tcW w:type="dxa" w:w="3389"/>
          </w:tcPr>
          <w:p>
            <w:pPr>
              <w:spacing w:after="0"/>
            </w:pPr>
            <w:r/>
            <w:r>
              <w:rPr>
                <w:rFonts w:ascii="Aptos" w:hAnsi="Aptos"/>
                <w:b w:val="0"/>
                <w:sz w:val="16"/>
              </w:rPr>
              <w:t>B-level wording and physical action are preserved without creation claim.</w:t>
            </w:r>
          </w:p>
        </w:tc>
      </w:tr>
      <w:tr>
        <w:trPr>
          <w:cantSplit/>
        </w:trPr>
        <w:tc>
          <w:tcPr>
            <w:tcW w:type="dxa" w:w="3389"/>
          </w:tcPr>
          <w:p>
            <w:pPr>
              <w:spacing w:after="0"/>
            </w:pPr>
            <w:r/>
            <w:r>
              <w:rPr>
                <w:rFonts w:ascii="Aptos" w:hAnsi="Aptos"/>
                <w:b w:val="0"/>
                <w:sz w:val="16"/>
              </w:rPr>
              <w:t>“This present ghāṭ is the nitya-līlā tīrtha.”</w:t>
            </w:r>
          </w:p>
        </w:tc>
        <w:tc>
          <w:tcPr>
            <w:tcW w:type="dxa" w:w="3389"/>
          </w:tcPr>
          <w:p>
            <w:pPr>
              <w:spacing w:after="0"/>
            </w:pPr>
            <w:r/>
            <w:r>
              <w:rPr>
                <w:rFonts w:ascii="Aptos" w:hAnsi="Aptos"/>
                <w:b w:val="0"/>
                <w:sz w:val="16"/>
              </w:rPr>
              <w:t>“The Gosvāmī text describes a tīrtha in this directional sector; the equation with the present ghāṭ is a separate localization question.”</w:t>
            </w:r>
          </w:p>
        </w:tc>
        <w:tc>
          <w:tcPr>
            <w:tcW w:type="dxa" w:w="3389"/>
          </w:tcPr>
          <w:p>
            <w:pPr>
              <w:spacing w:after="0"/>
            </w:pPr>
            <w:r/>
            <w:r>
              <w:rPr>
                <w:rFonts w:ascii="Aptos" w:hAnsi="Aptos"/>
                <w:b w:val="0"/>
                <w:sz w:val="16"/>
              </w:rPr>
              <w:t>Three-map/source-layer rule.</w:t>
            </w:r>
          </w:p>
        </w:tc>
      </w:tr>
      <w:tr>
        <w:trPr>
          <w:cantSplit/>
        </w:trPr>
        <w:tc>
          <w:tcPr>
            <w:tcW w:type="dxa" w:w="3389"/>
          </w:tcPr>
          <w:p>
            <w:pPr>
              <w:spacing w:after="0"/>
            </w:pPr>
            <w:r/>
            <w:r>
              <w:rPr>
                <w:rFonts w:ascii="Aptos" w:hAnsi="Aptos"/>
                <w:b w:val="0"/>
                <w:sz w:val="16"/>
              </w:rPr>
              <w:t>“Jāhnavā sat at the present Jāhnavā Ghāṭ.”</w:t>
            </w:r>
          </w:p>
        </w:tc>
        <w:tc>
          <w:tcPr>
            <w:tcW w:type="dxa" w:w="3389"/>
          </w:tcPr>
          <w:p>
            <w:pPr>
              <w:spacing w:after="0"/>
            </w:pPr>
            <w:r/>
            <w:r>
              <w:rPr>
                <w:rFonts w:ascii="Aptos" w:hAnsi="Aptos"/>
                <w:b w:val="0"/>
                <w:sz w:val="16"/>
              </w:rPr>
              <w:t>“Bhakti-ratnākara remembers Jāhnavā’s visit at the kuṇḍa; later tradition localizes her at the present Jāhnavā complex.”</w:t>
            </w:r>
          </w:p>
        </w:tc>
        <w:tc>
          <w:tcPr>
            <w:tcW w:type="dxa" w:w="3389"/>
          </w:tcPr>
          <w:p>
            <w:pPr>
              <w:spacing w:after="0"/>
            </w:pPr>
            <w:r/>
            <w:r>
              <w:rPr>
                <w:rFonts w:ascii="Aptos" w:hAnsi="Aptos"/>
                <w:b w:val="0"/>
                <w:sz w:val="16"/>
              </w:rPr>
              <w:t>Avoids backdating C-level localization.</w:t>
            </w:r>
          </w:p>
        </w:tc>
      </w:tr>
      <w:tr>
        <w:trPr>
          <w:cantSplit/>
        </w:trPr>
        <w:tc>
          <w:tcPr>
            <w:tcW w:type="dxa" w:w="3389"/>
          </w:tcPr>
          <w:p>
            <w:pPr>
              <w:spacing w:after="0"/>
            </w:pPr>
            <w:r/>
            <w:r>
              <w:rPr>
                <w:rFonts w:ascii="Aptos" w:hAnsi="Aptos"/>
                <w:b w:val="0"/>
                <w:sz w:val="16"/>
              </w:rPr>
              <w:t>“Abhimanyu, Rādhā’s husband…”</w:t>
            </w:r>
          </w:p>
        </w:tc>
        <w:tc>
          <w:tcPr>
            <w:tcW w:type="dxa" w:w="3389"/>
          </w:tcPr>
          <w:p>
            <w:pPr>
              <w:spacing w:after="0"/>
            </w:pPr>
            <w:r/>
            <w:r>
              <w:rPr>
                <w:rFonts w:ascii="Aptos" w:hAnsi="Aptos"/>
                <w:b w:val="0"/>
                <w:sz w:val="16"/>
              </w:rPr>
              <w:t>“Abhimanyu, whom Rūpa calls pati-manya—one who considers himself Her husband…”</w:t>
            </w:r>
          </w:p>
        </w:tc>
        <w:tc>
          <w:tcPr>
            <w:tcW w:type="dxa" w:w="3389"/>
          </w:tcPr>
          <w:p>
            <w:pPr>
              <w:spacing w:after="0"/>
            </w:pPr>
            <w:r/>
            <w:r>
              <w:rPr>
                <w:rFonts w:ascii="Aptos" w:hAnsi="Aptos"/>
                <w:b w:val="0"/>
                <w:sz w:val="16"/>
              </w:rPr>
              <w:t>Preserves the exact philological nuance.</w:t>
            </w:r>
          </w:p>
        </w:tc>
      </w:tr>
    </w:tbl>
    <w:p>
      <w:pPr>
        <w:pStyle w:val="Heading1"/>
      </w:pPr>
      <w:r>
        <w:t>14. Controlling source stack for composition</w:t>
      </w:r>
    </w:p>
    <w:p>
      <w:r>
        <w:t>The chapter should be drafted from the following hierarchy, not from conversational memory:</w:t>
      </w:r>
    </w:p>
    <w:p>
      <w:r>
        <w:rPr>
          <w:b/>
          <w:color w:val="762D3A"/>
        </w:rPr>
        <w:t xml:space="preserve">Project controls: </w:t>
      </w:r>
      <w:r>
        <w:t>Master Research Framework v0.2; Rādhā-kuṇḍa Research Dossier v0.4; RS-01 reconstructed; RS-02; RS-03; RK-02; RK-03; RK-04; Readiness &amp; Continuity Report.</w:t>
      </w:r>
    </w:p>
    <w:p>
      <w:r>
        <w:rPr>
          <w:b/>
          <w:color w:val="762D3A"/>
        </w:rPr>
        <w:t xml:space="preserve">Primary/Gosvāmī texts: </w:t>
      </w:r>
      <w:r>
        <w:t>Śrīmad-Bhāgavatam and Caitanya-caritāmṛta via Vedabase verification; Viśvanātha’s Sārārtha-darśinī; Rūpa’s Mathurā-māhātmya; Raghunātha’s Stavāvalī; Govinda-līlāmṛta mūla/commentaries/printed witness; Kṛṣṇa-bhāvanāmṛta searchable and printed witnesses; Rādhā-Kṛṣṇa-gaṇoddeśa-dīpikā; Vraja-rīti-cintāmaṇi.</w:t>
      </w:r>
    </w:p>
    <w:p>
      <w:r>
        <w:rPr>
          <w:b/>
          <w:color w:val="762D3A"/>
        </w:rPr>
        <w:t xml:space="preserve">Early pilgrimage/localization: </w:t>
      </w:r>
      <w:r>
        <w:t>Vraja-bhakti-vilāsa; Bhakti-ratnākara working text, with the Jāhnavā quotation gate retained.</w:t>
      </w:r>
    </w:p>
    <w:p>
      <w:r>
        <w:rPr>
          <w:b/>
          <w:color w:val="762D3A"/>
        </w:rPr>
        <w:t xml:space="preserve">Later/local: </w:t>
      </w:r>
      <w:r>
        <w:t>Ananta Dāsa Bābājī, The Glory and Heritage of Sri Sri Radhakund; Śrī Vraja-maṇḍala Parikramā; current temple/site traditions only when clearly attributed.</w:t>
      </w:r>
    </w:p>
    <w:p>
      <w:r>
        <w:rPr>
          <w:b/>
          <w:color w:val="762D3A"/>
        </w:rPr>
        <w:t xml:space="preserve">Historical/documentary: </w:t>
      </w:r>
      <w:r>
        <w:t>Mukherjee–Habib Land Rights; Mukherjee–Wright Early Testamentary Document; Habib–Mukherjee Braj Bhum in Mughal Times; Entwistle; Growse; Drake-Brockman; underlying deeds/maps when available.</w:t>
      </w:r>
    </w:p>
    <w:p>
      <w:pPr>
        <w:pStyle w:val="Heading1"/>
      </w:pPr>
      <w:r>
        <w:t>15. Approval checkpoints</w:t>
      </w:r>
    </w:p>
    <w:p>
      <w:pPr>
        <w:spacing w:after="60"/>
        <w:ind w:left="259" w:hanging="173"/>
      </w:pPr>
      <w:r>
        <w:rPr>
          <w:b/>
        </w:rPr>
        <w:t xml:space="preserve">• </w:t>
      </w:r>
      <w:r>
        <w:t>Checkpoint A — after Section 4: Does the origin story read as one continuous narrative? Are the Bhāgavatam boundary and twenty-verse provenance stated accurately without interrupting the story? Is the theology shown from Rūpa/Raghunātha rather than imposed?</w:t>
      </w:r>
    </w:p>
    <w:p>
      <w:pPr>
        <w:spacing w:after="60"/>
        <w:ind w:left="259" w:hanging="173"/>
      </w:pPr>
      <w:r>
        <w:rPr>
          <w:b/>
        </w:rPr>
        <w:t xml:space="preserve">• </w:t>
      </w:r>
      <w:r>
        <w:t>Checkpoint B — after Section 7: Can the reader picture Rādhā-kuṇḍa as a living nitya-līlā environment? Are geography, route, and people integrated rather than repeated three times?</w:t>
      </w:r>
    </w:p>
    <w:p>
      <w:pPr>
        <w:spacing w:after="60"/>
        <w:ind w:left="259" w:hanging="173"/>
      </w:pPr>
      <w:r>
        <w:rPr>
          <w:b/>
        </w:rPr>
        <w:t xml:space="preserve">• </w:t>
      </w:r>
      <w:r>
        <w:t>Checkpoint C — after Section 11: Does the historical shift feel natural? Have we kept Mahāprabhu recognition, Raghunātha restoration, and later localization distinct?</w:t>
      </w:r>
    </w:p>
    <w:p>
      <w:pPr>
        <w:spacing w:after="60"/>
        <w:ind w:left="259" w:hanging="173"/>
      </w:pPr>
      <w:r>
        <w:rPr>
          <w:b/>
        </w:rPr>
        <w:t xml:space="preserve">• </w:t>
      </w:r>
      <w:r>
        <w:t>Checkpoint D — after Section 12: Has D-level history corrected rather than merely decorated the devotional chronology? Are uncertain structures/dates still marked uncertain?</w:t>
      </w:r>
    </w:p>
    <w:p>
      <w:pPr>
        <w:spacing w:after="60"/>
        <w:ind w:left="259" w:hanging="173"/>
      </w:pPr>
      <w:r>
        <w:rPr>
          <w:b/>
        </w:rPr>
        <w:t xml:space="preserve">• </w:t>
      </w:r>
      <w:r>
        <w:t>Checkpoint E — final chapter: Does the conclusion return to the devotional center? Are source layers auditable? Are maps separated by type? Are present-day claims field-verified?</w:t>
      </w:r>
    </w:p>
    <w:p>
      <w:pPr>
        <w:pStyle w:val="Heading1"/>
      </w:pPr>
      <w:r>
        <w:t>16. Source basis for this blueprint</w:t>
      </w:r>
    </w:p>
    <w:p>
      <w:r>
        <w:t>This blueprint is a synthesis of the current Govardhana project controls and source library. Its architecture follows the Master Framework’s “story first” and final-synthesis requirements while adopting the more literary section order developed during the Rādhā-kuṇḍa research phase.</w:t>
      </w:r>
    </w:p>
    <w:p>
      <w:pPr>
        <w:spacing w:after="60"/>
        <w:ind w:left="259" w:hanging="173"/>
      </w:pPr>
      <w:r>
        <w:rPr>
          <w:b/>
        </w:rPr>
        <w:t xml:space="preserve">• </w:t>
      </w:r>
      <w:r>
        <w:t>Govardhana Pilgrimage — Master Research Framework v0.2: evidence layers, non-negotiable claim discipline, three-map principle, standard chapter architecture, and final-synthesis milestone.</w:t>
      </w:r>
    </w:p>
    <w:p>
      <w:pPr>
        <w:spacing w:after="60"/>
        <w:ind w:left="259" w:hanging="173"/>
      </w:pPr>
      <w:r>
        <w:rPr>
          <w:b/>
        </w:rPr>
        <w:t xml:space="preserve">• </w:t>
      </w:r>
      <w:r>
        <w:t>01 — Rādhā-kuṇḍa Research Dossier v0.4: current research state, source hierarchy, manifestation genealogy, devotional center, historical open questions, and RK-05 handoff.</w:t>
      </w:r>
    </w:p>
    <w:p>
      <w:pPr>
        <w:spacing w:after="60"/>
        <w:ind w:left="259" w:hanging="173"/>
      </w:pPr>
      <w:r>
        <w:rPr>
          <w:b/>
        </w:rPr>
        <w:t xml:space="preserve">• </w:t>
      </w:r>
      <w:r>
        <w:t>RS-01 — reconstructed Manifestation Narrative: Bhāgavatam boundary, twenty-verse sequence, naming history, provenance caution.</w:t>
      </w:r>
    </w:p>
    <w:p>
      <w:pPr>
        <w:spacing w:after="60"/>
        <w:ind w:left="259" w:hanging="173"/>
      </w:pPr>
      <w:r>
        <w:rPr>
          <w:b/>
        </w:rPr>
        <w:t xml:space="preserve">• </w:t>
      </w:r>
      <w:r>
        <w:t>RS-02 — Theological Architecture of the Manifestation Līlā: eight theological movements and interpretive boundaries.</w:t>
      </w:r>
    </w:p>
    <w:p>
      <w:pPr>
        <w:spacing w:after="60"/>
        <w:ind w:left="259" w:hanging="173"/>
      </w:pPr>
      <w:r>
        <w:rPr>
          <w:b/>
        </w:rPr>
        <w:t xml:space="preserve">• </w:t>
      </w:r>
      <w:r>
        <w:t>RS-03 — Śrī Caitanya Mahāprabhu at Rādhā-kuṇḍa: nine-movement Caitanya narrative and completion ruling that literary composition may begin.</w:t>
      </w:r>
    </w:p>
    <w:p>
      <w:pPr>
        <w:spacing w:after="60"/>
        <w:ind w:left="259" w:hanging="173"/>
      </w:pPr>
      <w:r>
        <w:rPr>
          <w:b/>
        </w:rPr>
        <w:t xml:space="preserve">• </w:t>
      </w:r>
      <w:r>
        <w:t>RK-02 — Nitya-līlā &amp; Sacred Geography: textual architecture, aṣṭa-sakhī mandala, Anaṅga Mañjarī center, route, seasonal geography, water-play/dice/departure corrections.</w:t>
      </w:r>
    </w:p>
    <w:p>
      <w:pPr>
        <w:spacing w:after="60"/>
        <w:ind w:left="259" w:hanging="173"/>
      </w:pPr>
      <w:r>
        <w:rPr>
          <w:b/>
        </w:rPr>
        <w:t xml:space="preserve">• </w:t>
      </w:r>
      <w:r>
        <w:t>RK-03 — People of the Landscape: service hierarchy, sakhī/mañjarī/sakhā/household systems, philological cautions.</w:t>
      </w:r>
    </w:p>
    <w:p>
      <w:pPr>
        <w:spacing w:after="60"/>
        <w:ind w:left="259" w:hanging="173"/>
      </w:pPr>
      <w:r>
        <w:rPr>
          <w:b/>
        </w:rPr>
        <w:t xml:space="preserve">• </w:t>
      </w:r>
      <w:r>
        <w:t>RK-04 — Caitanya, Gosvāmīs &amp; Gauḍīya Rādhā-kuṇḍa: recognition, Raghunātha restoration/residence, Jīva/Kṛṣṇadāsa, Jāhnavā, Śrīnivāsa/Narottama, and open localization questions.</w:t>
      </w:r>
    </w:p>
    <w:p>
      <w:pPr>
        <w:spacing w:after="60"/>
        <w:ind w:left="259" w:hanging="173"/>
      </w:pPr>
      <w:r>
        <w:rPr>
          <w:b/>
        </w:rPr>
        <w:t xml:space="preserve">• </w:t>
      </w:r>
      <w:r>
        <w:t>Readiness &amp; Continuity Report: readiness ruling, library-quality audit, source gaps, and historical-physical handoff.</w:t>
      </w:r>
    </w:p>
    <w:p>
      <w:pPr>
        <w:spacing w:after="60"/>
        <w:ind w:left="259" w:hanging="173"/>
      </w:pPr>
      <w:r>
        <w:rPr>
          <w:b/>
        </w:rPr>
        <w:t xml:space="preserve">• </w:t>
      </w:r>
      <w:r>
        <w:t>Current primary/printed/source witnesses in the project library, including Sārārtha-darśinī, Govinda-līlāmṛta printed and searchable witnesses, Kṛṣṇa-bhāvanāmṛta, Mathurā-māhātmya, Stavāvalī, Gaṇoddeśa-dīpikā, Vraja-bhakti-vilāsa, Bhakti-ratnākara, Vraja-maṇḍala Parikramā, and documentary/history works.</w:t>
      </w:r>
    </w:p>
    <w:tbl>
      <w:tblPr>
        <w:tblW w:type="auto" w:w="0"/>
        <w:jc w:val="center"/>
        <w:tblLayout w:type="autofit"/>
        <w:tblLook w:firstColumn="1" w:firstRow="1" w:lastColumn="0" w:lastRow="0" w:noHBand="0" w:noVBand="1" w:val="04A0"/>
      </w:tblPr>
      <w:tblGrid>
        <w:gridCol w:w="10166"/>
      </w:tblGrid>
      <w:tr>
        <w:tc>
          <w:tcPr>
            <w:tcW w:type="dxa" w:w="10166"/>
            <w:shd w:fill="E8F1E7"/>
          </w:tcPr>
          <w:p>
            <w:pPr>
              <w:spacing w:before="40" w:after="40"/>
            </w:pPr>
            <w:r>
              <w:rPr>
                <w:b/>
                <w:color w:val="762D3A"/>
              </w:rPr>
              <w:t xml:space="preserve">BLUEPRINT COMPLETION RULING  </w:t>
            </w:r>
            <w:r>
              <w:t>The Rādhā-kuṇḍa Story is ready to enter section-by-section composition. Start with RKST-01. Historical-physical work should be consolidated before Section 12, and present-day field verification before Section 13, but neither should delay Sections 1–11.</w:t>
            </w:r>
          </w:p>
        </w:tc>
      </w:tr>
    </w:tbl>
    <w:p>
      <w:pPr>
        <w:spacing w:after="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A6A"/>
        <w:sz w:val="16"/>
      </w:rPr>
      <w:t>Writing Blueprint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A7834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762D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762D3A"/>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62D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78345"/>
      <w:sz w:val="17"/>
    </w:rPr>
  </w:style>
  <w:style w:type="paragraph" w:customStyle="1" w:styleId="SourceNote">
    <w:name w:val="SourceNote"/>
    <w:pPr>
      <w:spacing w:after="80"/>
      <w:ind w:left="360"/>
    </w:pPr>
    <w:rPr>
      <w:rFonts w:ascii="Aptos" w:hAnsi="Aptos"/>
      <w:color w:val="6A6A6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Rādhā-kuṇḍa Story Writing Blueprint v1.0</dc:title>
  <dc:subject>Govardhana Pilgrimage — narrative architecture and source-control plan</dc:subject>
  <dc:creator>Govardhana Pilgrimage Project</dc:creator>
  <cp:keywords>Radhakunda, Govardhana, writing blueprint, Gaudiya Vaisnava, sacred geography</cp:keywords>
  <dc:description>generated by python-docx</dc:description>
  <cp:lastModifiedBy/>
  <cp:revision>1</cp:revision>
  <dcterms:created xsi:type="dcterms:W3CDTF">2013-12-23T23:15:00Z</dcterms:created>
  <dcterms:modified xsi:type="dcterms:W3CDTF">2013-12-23T23:15:00Z</dcterms:modified>
  <cp:category/>
</cp:coreProperties>
</file>