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00" w:line="252" w:lineRule="auto"/>
      </w:pPr>
      <w:r>
        <w:rPr>
          <w:rFonts w:ascii="Calibri" w:hAnsi="Calibri"/>
          <w:b/>
          <w:color w:val="1F4D78"/>
          <w:sz w:val="44"/>
        </w:rPr>
        <w:t>RK-05 — HISTORICAL &amp; PHYSICAL RĀDHĀ-KUṆḌA</w:t>
      </w:r>
    </w:p>
    <w:p>
      <w:pPr>
        <w:spacing w:after="100" w:line="252" w:lineRule="auto"/>
      </w:pPr>
      <w:r>
        <w:rPr>
          <w:rFonts w:ascii="Calibri" w:hAnsi="Calibri"/>
          <w:b/>
          <w:color w:val="2E74B5"/>
          <w:sz w:val="26"/>
        </w:rPr>
        <w:t>Research Ledger v0.2  •  Blocks 1–2: Documentary Spine and Pre-development Āriṭ</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STATUS</w:t>
            </w:r>
          </w:p>
        </w:tc>
        <w:tc>
          <w:tcPr>
            <w:tcW w:type="dxa" w:w="7660"/>
            <w:tcMar>
              <w:top w:w="80" w:type="dxa"/>
              <w:bottom w:w="80" w:type="dxa"/>
              <w:start w:w="120" w:type="dxa"/>
              <w:end w:w="120" w:type="dxa"/>
            </w:tcMar>
            <w:vAlign w:val="center"/>
          </w:tcPr>
          <w:p>
            <w:r>
              <w:t>BLOCKS 1–2 COMPLETE — documentary calendar and controlled pre-development reconstruction established; continuous historical narrative not yet written</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DATE</w:t>
            </w:r>
          </w:p>
        </w:tc>
        <w:tc>
          <w:tcPr>
            <w:tcW w:type="dxa" w:w="7660"/>
            <w:tcMar>
              <w:top w:w="80" w:type="dxa"/>
              <w:bottom w:w="80" w:type="dxa"/>
              <w:start w:w="120" w:type="dxa"/>
              <w:end w:w="120" w:type="dxa"/>
            </w:tcMar>
            <w:vAlign w:val="center"/>
          </w:tcPr>
          <w:p>
            <w:r>
              <w:t>19 August 2026</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CONTINUITY</w:t>
            </w:r>
          </w:p>
        </w:tc>
        <w:tc>
          <w:tcPr>
            <w:tcW w:type="dxa" w:w="7660"/>
            <w:tcMar>
              <w:top w:w="80" w:type="dxa"/>
              <w:bottom w:w="80" w:type="dxa"/>
              <w:start w:w="120" w:type="dxa"/>
              <w:end w:w="120" w:type="dxa"/>
            </w:tcMar>
            <w:vAlign w:val="center"/>
          </w:tcPr>
          <w:p>
            <w:pPr>
              <w:pStyle w:val="TableText"/>
              <w:keepNext/>
              <w:spacing w:after="0"/>
            </w:pPr>
            <w:r>
              <w:t>Original Govardhana chat green light accepted with six corrections</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EVIDENCE LAYER</w:t>
            </w:r>
          </w:p>
        </w:tc>
        <w:tc>
          <w:tcPr>
            <w:tcW w:type="dxa" w:w="7660"/>
            <w:tcMar>
              <w:top w:w="80" w:type="dxa"/>
              <w:bottom w:w="80" w:type="dxa"/>
              <w:start w:w="120" w:type="dxa"/>
              <w:end w:w="120" w:type="dxa"/>
            </w:tcMar>
            <w:vAlign w:val="center"/>
          </w:tcPr>
          <w:p>
            <w:r>
              <w:t>A — scripture/Gosvāmī; B — early Vraja pilgrimage/localization; C — later/local tradition; D — historical/documentary. Layers remain distinct.</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NEXT ACTION</w:t>
            </w:r>
          </w:p>
        </w:tc>
        <w:tc>
          <w:tcPr>
            <w:tcW w:type="dxa" w:w="7660"/>
            <w:tcMar>
              <w:top w:w="80" w:type="dxa"/>
              <w:bottom w:w="80" w:type="dxa"/>
              <w:start w:w="120" w:type="dxa"/>
              <w:end w:w="120" w:type="dxa"/>
            </w:tcMar>
            <w:vAlign w:val="center"/>
          </w:tcPr>
          <w:p>
            <w:r>
              <w:t>Proceed to Block 3: reconstruct Raghunātha dāsa Gosvāmī’s acquisition, patronage, labour, excavation/restoration, legal transfer and transition to the 1598 institutional horizon</w:t>
            </w:r>
          </w:p>
        </w:tc>
      </w:tr>
    </w:tbl>
    <w:p>
      <w:pPr>
        <w:spacing w:after="100" w:line="252" w:lineRule="auto"/>
      </w:pPr>
    </w:p>
    <w:p>
      <w:pPr>
        <w:pStyle w:val="Heading1"/>
        <w:keepNext/>
      </w:pPr>
      <w:r>
        <w:t>1. Mandate and non-loss rules</w:t>
      </w:r>
    </w:p>
    <w:p>
      <w:pPr>
        <w:pStyle w:val="ListBullet"/>
      </w:pPr>
      <w:r>
        <w:t>Build a document-by-document evidence calendar before composing historical narrative.</w:t>
      </w:r>
    </w:p>
    <w:p>
      <w:pPr>
        <w:pStyle w:val="ListBullet"/>
      </w:pPr>
      <w:r>
        <w:t>Separate the document’s stated date from the date/status of the surviving witness; distinguish original, copy, late copy, published photograph, and scholarly reconstruction.</w:t>
      </w:r>
    </w:p>
    <w:p>
      <w:pPr>
        <w:pStyle w:val="ListBullet"/>
      </w:pPr>
      <w:r>
        <w:t>Record parties and legal act exactly: sale, hiba, kṛṣṇārpaṇa, undertaking, pledge, parwāna, farmān, complaint, or succession statement.</w:t>
      </w:r>
    </w:p>
    <w:p>
      <w:pPr>
        <w:pStyle w:val="ListBullet"/>
      </w:pPr>
      <w:r>
        <w:t>Do not treat Habib’s reconstruction as though every phrase were a verbatim sixteenth-century document statement.</w:t>
      </w:r>
    </w:p>
    <w:p>
      <w:pPr>
        <w:pStyle w:val="ListBullet"/>
      </w:pPr>
      <w:r>
        <w:t>Keep A/B/C/D layers separate. Bhakti-ratnākara may converge with D evidence, but it cannot repair doubtful deed dates or become an archival source.</w:t>
      </w:r>
    </w:p>
    <w:p>
      <w:pPr>
        <w:pStyle w:val="ListBullet"/>
      </w:pPr>
      <w:r>
        <w:t>Preserve conflicts, especially the retrospective Arith deeds, the Doc. 8 price discrepancy, the uncertain singhāra parwāna date, and later institutional origin claims.</w:t>
      </w:r>
    </w:p>
    <w:p>
      <w:pPr>
        <w:pStyle w:val="Heading1"/>
        <w:keepNext/>
      </w:pPr>
      <w:r>
        <w:t>2. Continuity corrections accepted</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A/B CLASSIFICATION</w:t>
            </w:r>
          </w:p>
        </w:tc>
        <w:tc>
          <w:tcPr>
            <w:tcW w:type="dxa" w:w="7660"/>
            <w:tcMar>
              <w:top w:w="80" w:type="dxa"/>
              <w:bottom w:w="80" w:type="dxa"/>
              <w:start w:w="120" w:type="dxa"/>
              <w:end w:w="120" w:type="dxa"/>
            </w:tcMar>
            <w:vAlign w:val="center"/>
          </w:tcPr>
          <w:p>
            <w:pPr>
              <w:pStyle w:val="TableText"/>
              <w:keepNext/>
              <w:spacing w:after="0"/>
            </w:pPr>
            <w:r>
              <w:t>Vraja-bhakti-vilāsa is B-level early pilgrimage/localization, not A-level primary scripture/Gosvāmī evidence.</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AUTHOR</w:t>
            </w:r>
          </w:p>
        </w:tc>
        <w:tc>
          <w:tcPr>
            <w:tcW w:type="dxa" w:w="7660"/>
            <w:tcMar>
              <w:top w:w="80" w:type="dxa"/>
              <w:bottom w:w="80" w:type="dxa"/>
              <w:start w:w="120" w:type="dxa"/>
              <w:end w:w="120" w:type="dxa"/>
            </w:tcMar>
            <w:vAlign w:val="center"/>
          </w:tcPr>
          <w:p>
            <w:pPr>
              <w:pStyle w:val="TableText"/>
              <w:keepNext/>
              <w:spacing w:after="0"/>
            </w:pPr>
            <w:r>
              <w:t>The co-author of ‘An Early Testamentary Document in Sanskrit’ is J. C. Wright.</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RS.238</w:t>
            </w:r>
          </w:p>
        </w:tc>
        <w:tc>
          <w:tcPr>
            <w:tcW w:type="dxa" w:w="7660"/>
            <w:tcMar>
              <w:top w:w="80" w:type="dxa"/>
              <w:bottom w:w="80" w:type="dxa"/>
              <w:start w:w="120" w:type="dxa"/>
              <w:end w:w="120" w:type="dxa"/>
            </w:tcMar>
            <w:vAlign w:val="center"/>
          </w:tcPr>
          <w:p>
            <w:pPr>
              <w:pStyle w:val="TableText"/>
              <w:keepNext/>
              <w:spacing w:after="0"/>
            </w:pPr>
            <w:r>
              <w:t>The 1588 declaration says Raghunātha had purchased six plots for the stated aggregate price of Rs.238 and then gifted them to Jīva; the hiba is not a Rs.238 sale.</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1637 ROLE</w:t>
            </w:r>
          </w:p>
        </w:tc>
        <w:tc>
          <w:tcPr>
            <w:tcW w:type="dxa" w:w="7660"/>
            <w:tcMar>
              <w:top w:w="80" w:type="dxa"/>
              <w:bottom w:w="80" w:type="dxa"/>
              <w:start w:w="120" w:type="dxa"/>
              <w:end w:w="120" w:type="dxa"/>
            </w:tcMar>
            <w:vAlign w:val="center"/>
          </w:tcPr>
          <w:p>
            <w:pPr>
              <w:pStyle w:val="TableText"/>
              <w:keepNext/>
              <w:spacing w:after="0"/>
            </w:pPr>
            <w:r>
              <w:t>Use ‘declarant Kṛṣṇadāsa, son of Bharatācārya.’ He conveys the Rādhā-kuṇḍa premises to Purohita Chaudhuri Śrī Kiśora Soti; he is not Kṛṣṇadāsa Kavirāja.</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GL WITNESSES</w:t>
            </w:r>
          </w:p>
        </w:tc>
        <w:tc>
          <w:tcPr>
            <w:tcW w:type="dxa" w:w="7660"/>
            <w:tcMar>
              <w:top w:w="80" w:type="dxa"/>
              <w:bottom w:w="80" w:type="dxa"/>
              <w:start w:w="120" w:type="dxa"/>
              <w:end w:w="120" w:type="dxa"/>
            </w:tcMar>
            <w:vAlign w:val="center"/>
          </w:tcPr>
          <w:p>
            <w:pPr>
              <w:pStyle w:val="TableText"/>
              <w:keepNext/>
              <w:spacing w:after="0"/>
            </w:pPr>
            <w:r>
              <w:t>Govinda-līlāmṛta mūla, commentary Sargas 1–14, commentary Sargas 15–23, and printed PDF remain distinct witnesses.</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BR COMPLETENESS</w:t>
            </w:r>
          </w:p>
        </w:tc>
        <w:tc>
          <w:tcPr>
            <w:tcW w:type="dxa" w:w="7660"/>
            <w:tcMar>
              <w:top w:w="80" w:type="dxa"/>
              <w:bottom w:w="80" w:type="dxa"/>
              <w:start w:w="120" w:type="dxa"/>
              <w:end w:w="120" w:type="dxa"/>
            </w:tcMar>
            <w:vAlign w:val="center"/>
          </w:tcPr>
          <w:p>
            <w:pPr>
              <w:pStyle w:val="TableText"/>
              <w:keepNext w:val="0"/>
              <w:spacing w:after="0"/>
            </w:pPr>
            <w:r>
              <w:t>Bhakti Ratnakara all.doc reaches Chapter/Taraṅga 15 but the local extraction ends without a final close/colophon; it is broad working coverage, not yet a proven complete edition.</w:t>
            </w:r>
          </w:p>
        </w:tc>
      </w:tr>
    </w:tbl>
    <w:p>
      <w:pPr>
        <w:spacing w:after="100" w:line="252" w:lineRule="auto"/>
      </w:pPr>
    </w:p>
    <w:p>
      <w:pPr>
        <w:pStyle w:val="Heading1"/>
        <w:keepNext/>
      </w:pPr>
      <w:r>
        <w:t>3. Source publications and witness hierarchy</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PRIMARY STUDY 1</w:t>
            </w:r>
          </w:p>
        </w:tc>
        <w:tc>
          <w:tcPr>
            <w:tcW w:type="dxa" w:w="7660"/>
            <w:tcMar>
              <w:top w:w="80" w:type="dxa"/>
              <w:bottom w:w="80" w:type="dxa"/>
              <w:start w:w="120" w:type="dxa"/>
              <w:end w:w="120" w:type="dxa"/>
            </w:tcMar>
            <w:vAlign w:val="center"/>
          </w:tcPr>
          <w:p>
            <w:pPr>
              <w:pStyle w:val="TableText"/>
              <w:keepNext/>
              <w:spacing w:after="0"/>
            </w:pPr>
            <w:r>
              <w:t>Tarapada Mukherjee and Irfan Habib, ‘Land Rights in the Reign of Akbar: The Evidence of the Sale-deeds of Vrindaban and Aritha,’ Proceedings of the Indian History Congress 50 (1989), pp.237–257; local PDF inspected, especially pp.237–239 and calendar pp.245–249.</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PRIMARY STUDY 2</w:t>
            </w:r>
          </w:p>
        </w:tc>
        <w:tc>
          <w:tcPr>
            <w:tcW w:type="dxa" w:w="7660"/>
            <w:tcMar>
              <w:top w:w="80" w:type="dxa"/>
              <w:bottom w:w="80" w:type="dxa"/>
              <w:start w:w="120" w:type="dxa"/>
              <w:end w:w="120" w:type="dxa"/>
            </w:tcMar>
            <w:vAlign w:val="center"/>
          </w:tcPr>
          <w:p>
            <w:pPr>
              <w:pStyle w:val="TableText"/>
              <w:keepNext/>
              <w:spacing w:after="0"/>
            </w:pPr>
            <w:r>
              <w:t>Tarapada Mukherjee and J. C. Wright, ‘An Early Testamentary Document in Sanskrit,’ Bulletin of the School of Oriental and African Studies 42.2 (1979), pp.297–320; local PDF inspected, especially pp.316–318 and Plate III.</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DOCUMENTARY SYNTHESIS</w:t>
            </w:r>
          </w:p>
        </w:tc>
        <w:tc>
          <w:tcPr>
            <w:tcW w:type="dxa" w:w="7660"/>
            <w:tcMar>
              <w:top w:w="80" w:type="dxa"/>
              <w:bottom w:w="80" w:type="dxa"/>
              <w:start w:w="120" w:type="dxa"/>
              <w:end w:w="120" w:type="dxa"/>
            </w:tcMar>
            <w:vAlign w:val="center"/>
          </w:tcPr>
          <w:p>
            <w:pPr>
              <w:pStyle w:val="TableText"/>
              <w:keepNext/>
              <w:spacing w:after="0"/>
            </w:pPr>
            <w:r>
              <w:t>Irfan Habib and Tarapada Mukherjee, Braj Bhum in Mughal Times, Chapter 8 ‘From Arith to Radhakund,’ pp.161–177, plus document calendars and documentary-history entries; local searchable text inspected.</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WORKING LIMIT</w:t>
            </w:r>
          </w:p>
        </w:tc>
        <w:tc>
          <w:tcPr>
            <w:tcW w:type="dxa" w:w="7660"/>
            <w:tcMar>
              <w:top w:w="80" w:type="dxa"/>
              <w:bottom w:w="80" w:type="dxa"/>
              <w:start w:w="120" w:type="dxa"/>
              <w:end w:w="120" w:type="dxa"/>
            </w:tcMar>
            <w:vAlign w:val="center"/>
          </w:tcPr>
          <w:p>
            <w:pPr>
              <w:pStyle w:val="TableText"/>
              <w:keepNext w:val="0"/>
              <w:spacing w:after="0"/>
            </w:pPr>
            <w:r>
              <w:t>The local library contains published transcriptions/calendars but not direct facsimiles of every R.D., M.M., VRI, NAI, IVS, G.D., CU or Govind-dev witness. ‘Verified’ below therefore means verified in the local publication unless otherwise stated.</w:t>
            </w:r>
          </w:p>
        </w:tc>
      </w:tr>
    </w:tbl>
    <w:p>
      <w:pPr>
        <w:spacing w:after="100" w:line="252" w:lineRule="auto"/>
      </w:pPr>
    </w:p>
    <w:p>
      <w:pPr>
        <w:pStyle w:val="Heading2"/>
        <w:keepNext/>
      </w:pPr>
      <w:r>
        <w:t>Chronological overview</w:t>
      </w:r>
    </w:p>
    <w:tbl>
      <w:tblPr>
        <w:tblStyle w:val="TableGrid"/>
        <w:tblW w:type="dxa" w:w="9360"/>
        <w:tblLayout w:type="fixed"/>
        <w:tblLook w:firstColumn="1" w:firstRow="1" w:lastColumn="0" w:lastRow="0" w:noHBand="0" w:noVBand="1" w:val="04A0"/>
        <w:tblInd w:w="120" w:type="dxa"/>
      </w:tblPr>
      <w:tblGrid>
        <w:gridCol w:w="900"/>
        <w:gridCol w:w="1700"/>
        <w:gridCol w:w="4800"/>
        <w:gridCol w:w="1960"/>
      </w:tblGrid>
      <w:tr>
        <w:trPr>
          <w:cantSplit/>
          <w:tblHeader w:val="true"/>
          <w:cantSplit/>
        </w:trPr>
        <w:tc>
          <w:tcPr>
            <w:tcW w:type="dxa" w:w="900"/>
            <w:tcMar>
              <w:top w:w="80" w:type="dxa"/>
              <w:bottom w:w="80" w:type="dxa"/>
              <w:start w:w="120" w:type="dxa"/>
              <w:end w:w="120" w:type="dxa"/>
            </w:tcMar>
            <w:vAlign w:val="center"/>
            <w:shd w:fill="E8EEF5"/>
          </w:tcPr>
          <w:p>
            <w:pPr>
              <w:pStyle w:val="TableText"/>
              <w:jc w:val="center"/>
            </w:pPr>
            <w:r>
              <w:rPr>
                <w:rFonts w:ascii="Calibri" w:hAnsi="Calibri"/>
                <w:b/>
                <w:color w:val="1F4D78"/>
                <w:sz w:val="17"/>
              </w:rPr>
              <w:t>ID</w:t>
            </w:r>
          </w:p>
        </w:tc>
        <w:tc>
          <w:tcPr>
            <w:tcW w:type="dxa" w:w="1700"/>
            <w:tcMar>
              <w:top w:w="80" w:type="dxa"/>
              <w:bottom w:w="80" w:type="dxa"/>
              <w:start w:w="120" w:type="dxa"/>
              <w:end w:w="120" w:type="dxa"/>
            </w:tcMar>
            <w:vAlign w:val="center"/>
            <w:shd w:fill="E8EEF5"/>
          </w:tcPr>
          <w:p>
            <w:pPr>
              <w:pStyle w:val="TableText"/>
              <w:jc w:val="center"/>
            </w:pPr>
            <w:r>
              <w:rPr>
                <w:rFonts w:ascii="Calibri" w:hAnsi="Calibri"/>
                <w:b/>
                <w:color w:val="1F4D78"/>
                <w:sz w:val="17"/>
              </w:rPr>
              <w:t>Date</w:t>
            </w:r>
          </w:p>
        </w:tc>
        <w:tc>
          <w:tcPr>
            <w:tcW w:type="dxa" w:w="4800"/>
            <w:tcMar>
              <w:top w:w="80" w:type="dxa"/>
              <w:bottom w:w="80" w:type="dxa"/>
              <w:start w:w="120" w:type="dxa"/>
              <w:end w:w="120" w:type="dxa"/>
            </w:tcMar>
            <w:vAlign w:val="center"/>
            <w:shd w:fill="E8EEF5"/>
          </w:tcPr>
          <w:p>
            <w:pPr>
              <w:pStyle w:val="TableText"/>
              <w:jc w:val="left"/>
            </w:pPr>
            <w:r>
              <w:rPr>
                <w:rFonts w:ascii="Calibri" w:hAnsi="Calibri"/>
                <w:b/>
                <w:color w:val="1F4D78"/>
                <w:sz w:val="17"/>
              </w:rPr>
              <w:t>Document / act</w:t>
            </w:r>
          </w:p>
        </w:tc>
        <w:tc>
          <w:tcPr>
            <w:tcW w:type="dxa" w:w="1960"/>
            <w:tcMar>
              <w:top w:w="80" w:type="dxa"/>
              <w:bottom w:w="80" w:type="dxa"/>
              <w:start w:w="120" w:type="dxa"/>
              <w:end w:w="120" w:type="dxa"/>
            </w:tcMar>
            <w:vAlign w:val="center"/>
            <w:shd w:fill="E8EEF5"/>
          </w:tcPr>
          <w:p>
            <w:pPr>
              <w:pStyle w:val="TableText"/>
              <w:jc w:val="center"/>
            </w:pPr>
            <w:r>
              <w:rPr>
                <w:rFonts w:ascii="Calibri" w:hAnsi="Calibri"/>
                <w:b/>
                <w:color w:val="1F4D78"/>
                <w:sz w:val="17"/>
              </w:rPr>
              <w:t>Control status</w:t>
            </w:r>
          </w:p>
        </w:tc>
      </w:tr>
      <w:tr>
        <w:trPr>
          <w:cantSplit/>
        </w:trPr>
        <w:tc>
          <w:tcPr>
            <w:tcW w:type="dxa" w:w="900"/>
            <w:shd w:fill="F8F9FA"/>
            <w:tcMar>
              <w:top w:w="80" w:type="dxa"/>
              <w:bottom w:w="80" w:type="dxa"/>
              <w:start w:w="120" w:type="dxa"/>
              <w:end w:w="120" w:type="dxa"/>
            </w:tcMar>
            <w:vAlign w:val="center"/>
          </w:tcPr>
          <w:p>
            <w:pPr>
              <w:pStyle w:val="TableText"/>
              <w:spacing w:after="0"/>
              <w:jc w:val="center"/>
            </w:pPr>
            <w:r>
              <w:t>A01</w:t>
            </w:r>
          </w:p>
        </w:tc>
        <w:tc>
          <w:tcPr>
            <w:tcW w:type="dxa" w:w="1700"/>
            <w:shd w:fill="F8F9FA"/>
            <w:tcMar>
              <w:top w:w="80" w:type="dxa"/>
              <w:bottom w:w="80" w:type="dxa"/>
              <w:start w:w="120" w:type="dxa"/>
              <w:end w:w="120" w:type="dxa"/>
            </w:tcMar>
            <w:vAlign w:val="center"/>
          </w:tcPr>
          <w:p>
            <w:pPr>
              <w:pStyle w:val="TableText"/>
              <w:spacing w:after="0"/>
              <w:jc w:val="center"/>
            </w:pPr>
            <w:r>
              <w:t>Purported 1537–38</w:t>
            </w:r>
          </w:p>
        </w:tc>
        <w:tc>
          <w:tcPr>
            <w:tcW w:type="dxa" w:w="4800"/>
            <w:shd w:fill="F8F9FA"/>
            <w:tcMar>
              <w:top w:w="80" w:type="dxa"/>
              <w:bottom w:w="80" w:type="dxa"/>
              <w:start w:w="120" w:type="dxa"/>
              <w:end w:w="120" w:type="dxa"/>
            </w:tcMar>
            <w:vAlign w:val="center"/>
          </w:tcPr>
          <w:p>
            <w:pPr>
              <w:pStyle w:val="TableText"/>
              <w:spacing w:after="0"/>
              <w:jc w:val="left"/>
            </w:pPr>
            <w:r>
              <w:t>Land Rights Doc. 1; R.D. original (?); Seven Arith panch/headmen → Raghunātha dāsa; sale deed; reported price about Rs.80.</w:t>
            </w:r>
          </w:p>
        </w:tc>
        <w:tc>
          <w:tcPr>
            <w:tcW w:type="dxa" w:w="1960"/>
            <w:shd w:fill="F8F9FA"/>
            <w:tcMar>
              <w:top w:w="80" w:type="dxa"/>
              <w:bottom w:w="80" w:type="dxa"/>
              <w:start w:w="120" w:type="dxa"/>
              <w:end w:w="120" w:type="dxa"/>
            </w:tcMar>
            <w:vAlign w:val="center"/>
          </w:tcPr>
          <w:p>
            <w:pPr>
              <w:pStyle w:val="TableText"/>
              <w:spacing w:after="0"/>
              <w:jc w:val="center"/>
            </w:pPr>
            <w:r>
              <w:t>LOW for stated date</w:t>
            </w:r>
          </w:p>
        </w:tc>
      </w:tr>
      <w:tr>
        <w:trPr>
          <w:cantSplit/>
        </w:trPr>
        <w:tc>
          <w:tcPr>
            <w:tcW w:type="dxa" w:w="900"/>
            <w:tcMar>
              <w:top w:w="80" w:type="dxa"/>
              <w:bottom w:w="80" w:type="dxa"/>
              <w:start w:w="120" w:type="dxa"/>
              <w:end w:w="120" w:type="dxa"/>
            </w:tcMar>
            <w:vAlign w:val="center"/>
          </w:tcPr>
          <w:p>
            <w:pPr>
              <w:pStyle w:val="TableText"/>
              <w:spacing w:after="0"/>
              <w:jc w:val="center"/>
            </w:pPr>
            <w:r>
              <w:t>A02</w:t>
            </w:r>
          </w:p>
        </w:tc>
        <w:tc>
          <w:tcPr>
            <w:tcW w:type="dxa" w:w="1700"/>
            <w:tcMar>
              <w:top w:w="80" w:type="dxa"/>
              <w:bottom w:w="80" w:type="dxa"/>
              <w:start w:w="120" w:type="dxa"/>
              <w:end w:w="120" w:type="dxa"/>
            </w:tcMar>
            <w:vAlign w:val="center"/>
          </w:tcPr>
          <w:p>
            <w:pPr>
              <w:pStyle w:val="TableText"/>
              <w:spacing w:after="0"/>
              <w:jc w:val="center"/>
            </w:pPr>
            <w:r>
              <w:t>Purported 14 Apr 1545</w:t>
            </w:r>
          </w:p>
        </w:tc>
        <w:tc>
          <w:tcPr>
            <w:tcW w:type="dxa" w:w="4800"/>
            <w:tcMar>
              <w:top w:w="80" w:type="dxa"/>
              <w:bottom w:w="80" w:type="dxa"/>
              <w:start w:w="120" w:type="dxa"/>
              <w:end w:w="120" w:type="dxa"/>
            </w:tcMar>
            <w:vAlign w:val="center"/>
          </w:tcPr>
          <w:p>
            <w:pPr>
              <w:pStyle w:val="TableText"/>
              <w:spacing w:after="0"/>
              <w:jc w:val="left"/>
            </w:pPr>
            <w:r>
              <w:t>Land Rights Doc. 2; R.D. copy; Seven panch/muqaddams → Raghunātha dāsa; stated sale for Rs.30.</w:t>
            </w:r>
          </w:p>
        </w:tc>
        <w:tc>
          <w:tcPr>
            <w:tcW w:type="dxa" w:w="1960"/>
            <w:tcMar>
              <w:top w:w="80" w:type="dxa"/>
              <w:bottom w:w="80" w:type="dxa"/>
              <w:start w:w="120" w:type="dxa"/>
              <w:end w:w="120" w:type="dxa"/>
            </w:tcMar>
            <w:vAlign w:val="center"/>
          </w:tcPr>
          <w:p>
            <w:pPr>
              <w:pStyle w:val="TableText"/>
              <w:spacing w:after="0"/>
              <w:jc w:val="center"/>
            </w:pPr>
            <w:r>
              <w:t>LOW for date</w:t>
            </w:r>
          </w:p>
        </w:tc>
      </w:tr>
      <w:tr>
        <w:trPr>
          <w:cantSplit/>
        </w:trPr>
        <w:tc>
          <w:tcPr>
            <w:tcW w:type="dxa" w:w="900"/>
            <w:shd w:fill="F8F9FA"/>
            <w:tcMar>
              <w:top w:w="80" w:type="dxa"/>
              <w:bottom w:w="80" w:type="dxa"/>
              <w:start w:w="120" w:type="dxa"/>
              <w:end w:w="120" w:type="dxa"/>
            </w:tcMar>
            <w:vAlign w:val="center"/>
          </w:tcPr>
          <w:p>
            <w:pPr>
              <w:pStyle w:val="TableText"/>
              <w:spacing w:after="0"/>
              <w:jc w:val="center"/>
            </w:pPr>
            <w:r>
              <w:t>A03</w:t>
            </w:r>
          </w:p>
        </w:tc>
        <w:tc>
          <w:tcPr>
            <w:tcW w:type="dxa" w:w="1700"/>
            <w:shd w:fill="F8F9FA"/>
            <w:tcMar>
              <w:top w:w="80" w:type="dxa"/>
              <w:bottom w:w="80" w:type="dxa"/>
              <w:start w:w="120" w:type="dxa"/>
              <w:end w:w="120" w:type="dxa"/>
            </w:tcMar>
            <w:vAlign w:val="center"/>
          </w:tcPr>
          <w:p>
            <w:pPr>
              <w:pStyle w:val="TableText"/>
              <w:spacing w:after="0"/>
              <w:jc w:val="center"/>
            </w:pPr>
            <w:r>
              <w:t>Purported 13 Oct 1546; surviving copy 1727–28</w:t>
            </w:r>
          </w:p>
        </w:tc>
        <w:tc>
          <w:tcPr>
            <w:tcW w:type="dxa" w:w="4800"/>
            <w:shd w:fill="F8F9FA"/>
            <w:tcMar>
              <w:top w:w="80" w:type="dxa"/>
              <w:bottom w:w="80" w:type="dxa"/>
              <w:start w:w="120" w:type="dxa"/>
              <w:end w:w="120" w:type="dxa"/>
            </w:tcMar>
            <w:vAlign w:val="center"/>
          </w:tcPr>
          <w:p>
            <w:pPr>
              <w:pStyle w:val="TableText"/>
              <w:spacing w:after="0"/>
              <w:jc w:val="left"/>
            </w:pPr>
            <w:r>
              <w:t>Land Rights Doc. 3; M.M. 14/17; Arith inhabitants → Jīva Gosāin; sale for Rs.30.</w:t>
            </w:r>
          </w:p>
        </w:tc>
        <w:tc>
          <w:tcPr>
            <w:tcW w:type="dxa" w:w="1960"/>
            <w:shd w:fill="F8F9FA"/>
            <w:tcMar>
              <w:top w:w="80" w:type="dxa"/>
              <w:bottom w:w="80" w:type="dxa"/>
              <w:start w:w="120" w:type="dxa"/>
              <w:end w:w="120" w:type="dxa"/>
            </w:tcMar>
            <w:vAlign w:val="center"/>
          </w:tcPr>
          <w:p>
            <w:pPr>
              <w:pStyle w:val="TableText"/>
              <w:spacing w:after="0"/>
              <w:jc w:val="center"/>
            </w:pPr>
            <w:r>
              <w:t>LOW for transaction date</w:t>
            </w:r>
          </w:p>
        </w:tc>
      </w:tr>
      <w:tr>
        <w:trPr>
          <w:cantSplit/>
        </w:trPr>
        <w:tc>
          <w:tcPr>
            <w:tcW w:type="dxa" w:w="900"/>
            <w:tcMar>
              <w:top w:w="80" w:type="dxa"/>
              <w:bottom w:w="80" w:type="dxa"/>
              <w:start w:w="120" w:type="dxa"/>
              <w:end w:w="120" w:type="dxa"/>
            </w:tcMar>
            <w:vAlign w:val="center"/>
          </w:tcPr>
          <w:p>
            <w:pPr>
              <w:pStyle w:val="TableText"/>
              <w:spacing w:after="0"/>
              <w:jc w:val="center"/>
            </w:pPr>
            <w:r>
              <w:t>A04</w:t>
            </w:r>
          </w:p>
        </w:tc>
        <w:tc>
          <w:tcPr>
            <w:tcW w:type="dxa" w:w="1700"/>
            <w:tcMar>
              <w:top w:w="80" w:type="dxa"/>
              <w:bottom w:w="80" w:type="dxa"/>
              <w:start w:w="120" w:type="dxa"/>
              <w:end w:w="120" w:type="dxa"/>
            </w:tcMar>
            <w:vAlign w:val="center"/>
          </w:tcPr>
          <w:p>
            <w:pPr>
              <w:pStyle w:val="TableText"/>
              <w:spacing w:after="0"/>
              <w:jc w:val="center"/>
            </w:pPr>
            <w:r>
              <w:t>Purported 6 May 1548 (or 1567–68)</w:t>
            </w:r>
          </w:p>
        </w:tc>
        <w:tc>
          <w:tcPr>
            <w:tcW w:type="dxa" w:w="4800"/>
            <w:tcMar>
              <w:top w:w="80" w:type="dxa"/>
              <w:bottom w:w="80" w:type="dxa"/>
              <w:start w:w="120" w:type="dxa"/>
              <w:end w:w="120" w:type="dxa"/>
            </w:tcMar>
            <w:vAlign w:val="center"/>
          </w:tcPr>
          <w:p>
            <w:pPr>
              <w:pStyle w:val="TableText"/>
              <w:spacing w:after="0"/>
              <w:jc w:val="left"/>
            </w:pPr>
            <w:r>
              <w:t>Land Rights Doc. 4; R.D. copy; Panch → Raghunātha dāsa; sale for Rs.20 plus four cloths.</w:t>
            </w:r>
          </w:p>
        </w:tc>
        <w:tc>
          <w:tcPr>
            <w:tcW w:type="dxa" w:w="1960"/>
            <w:tcMar>
              <w:top w:w="80" w:type="dxa"/>
              <w:bottom w:w="80" w:type="dxa"/>
              <w:start w:w="120" w:type="dxa"/>
              <w:end w:w="120" w:type="dxa"/>
            </w:tcMar>
            <w:vAlign w:val="center"/>
          </w:tcPr>
          <w:p>
            <w:pPr>
              <w:pStyle w:val="TableText"/>
              <w:spacing w:after="0"/>
              <w:jc w:val="center"/>
            </w:pPr>
            <w:r>
              <w:t>LOW for date</w:t>
            </w:r>
          </w:p>
        </w:tc>
      </w:tr>
      <w:tr>
        <w:trPr>
          <w:cantSplit/>
        </w:trPr>
        <w:tc>
          <w:tcPr>
            <w:tcW w:type="dxa" w:w="900"/>
            <w:shd w:fill="F8F9FA"/>
            <w:tcMar>
              <w:top w:w="80" w:type="dxa"/>
              <w:bottom w:w="80" w:type="dxa"/>
              <w:start w:w="120" w:type="dxa"/>
              <w:end w:w="120" w:type="dxa"/>
            </w:tcMar>
            <w:vAlign w:val="center"/>
          </w:tcPr>
          <w:p>
            <w:pPr>
              <w:pStyle w:val="TableText"/>
              <w:spacing w:after="0"/>
              <w:jc w:val="center"/>
            </w:pPr>
            <w:r>
              <w:t>A05</w:t>
            </w:r>
          </w:p>
        </w:tc>
        <w:tc>
          <w:tcPr>
            <w:tcW w:type="dxa" w:w="1700"/>
            <w:shd w:fill="F8F9FA"/>
            <w:tcMar>
              <w:top w:w="80" w:type="dxa"/>
              <w:bottom w:w="80" w:type="dxa"/>
              <w:start w:w="120" w:type="dxa"/>
              <w:end w:w="120" w:type="dxa"/>
            </w:tcMar>
            <w:vAlign w:val="center"/>
          </w:tcPr>
          <w:p>
            <w:pPr>
              <w:pStyle w:val="TableText"/>
              <w:spacing w:after="0"/>
              <w:jc w:val="center"/>
            </w:pPr>
            <w:r>
              <w:t>Purported 24 Aug 1577; year torn</w:t>
            </w:r>
          </w:p>
        </w:tc>
        <w:tc>
          <w:tcPr>
            <w:tcW w:type="dxa" w:w="4800"/>
            <w:shd w:fill="F8F9FA"/>
            <w:tcMar>
              <w:top w:w="80" w:type="dxa"/>
              <w:bottom w:w="80" w:type="dxa"/>
              <w:start w:w="120" w:type="dxa"/>
              <w:end w:w="120" w:type="dxa"/>
            </w:tcMar>
            <w:vAlign w:val="center"/>
          </w:tcPr>
          <w:p>
            <w:pPr>
              <w:pStyle w:val="TableText"/>
              <w:spacing w:after="0"/>
              <w:jc w:val="left"/>
            </w:pPr>
            <w:r>
              <w:t>Land Rights Doc. 5; M.M. 5; Arith inhabitants → Jīva; stated sale for Rs.64.</w:t>
            </w:r>
          </w:p>
        </w:tc>
        <w:tc>
          <w:tcPr>
            <w:tcW w:type="dxa" w:w="1960"/>
            <w:shd w:fill="F8F9FA"/>
            <w:tcMar>
              <w:top w:w="80" w:type="dxa"/>
              <w:bottom w:w="80" w:type="dxa"/>
              <w:start w:w="120" w:type="dxa"/>
              <w:end w:w="120" w:type="dxa"/>
            </w:tcMar>
            <w:vAlign w:val="center"/>
          </w:tcPr>
          <w:p>
            <w:pPr>
              <w:pStyle w:val="TableText"/>
              <w:spacing w:after="0"/>
              <w:jc w:val="center"/>
            </w:pPr>
            <w:r>
              <w:t>LOW–MODERATE</w:t>
            </w:r>
          </w:p>
        </w:tc>
      </w:tr>
      <w:tr>
        <w:trPr>
          <w:cantSplit/>
        </w:trPr>
        <w:tc>
          <w:tcPr>
            <w:tcW w:type="dxa" w:w="900"/>
            <w:tcMar>
              <w:top w:w="80" w:type="dxa"/>
              <w:bottom w:w="80" w:type="dxa"/>
              <w:start w:w="120" w:type="dxa"/>
              <w:end w:w="120" w:type="dxa"/>
            </w:tcMar>
            <w:vAlign w:val="center"/>
          </w:tcPr>
          <w:p>
            <w:pPr>
              <w:pStyle w:val="TableText"/>
              <w:spacing w:after="0"/>
              <w:jc w:val="center"/>
            </w:pPr>
            <w:r>
              <w:t>A06</w:t>
            </w:r>
          </w:p>
        </w:tc>
        <w:tc>
          <w:tcPr>
            <w:tcW w:type="dxa" w:w="1700"/>
            <w:tcMar>
              <w:top w:w="80" w:type="dxa"/>
              <w:bottom w:w="80" w:type="dxa"/>
              <w:start w:w="120" w:type="dxa"/>
              <w:end w:w="120" w:type="dxa"/>
            </w:tcMar>
            <w:vAlign w:val="center"/>
          </w:tcPr>
          <w:p>
            <w:pPr>
              <w:pStyle w:val="TableText"/>
              <w:spacing w:after="0"/>
              <w:jc w:val="center"/>
            </w:pPr>
            <w:r>
              <w:t>30 Aug 1577; variant copy says 23 May 1587</w:t>
            </w:r>
          </w:p>
        </w:tc>
        <w:tc>
          <w:tcPr>
            <w:tcW w:type="dxa" w:w="4800"/>
            <w:tcMar>
              <w:top w:w="80" w:type="dxa"/>
              <w:bottom w:w="80" w:type="dxa"/>
              <w:start w:w="120" w:type="dxa"/>
              <w:end w:w="120" w:type="dxa"/>
            </w:tcMar>
            <w:vAlign w:val="center"/>
          </w:tcPr>
          <w:p>
            <w:pPr>
              <w:pStyle w:val="TableText"/>
              <w:spacing w:after="0"/>
              <w:jc w:val="left"/>
            </w:pPr>
            <w:r>
              <w:t>Land Rights Docs. 6 and 6A; M.M. 7 and M.M. 11/18; Arith inhabitants → Jīva; stated sale for Rs.20.</w:t>
            </w:r>
          </w:p>
        </w:tc>
        <w:tc>
          <w:tcPr>
            <w:tcW w:type="dxa" w:w="1960"/>
            <w:tcMar>
              <w:top w:w="80" w:type="dxa"/>
              <w:bottom w:w="80" w:type="dxa"/>
              <w:start w:w="120" w:type="dxa"/>
              <w:end w:w="120" w:type="dxa"/>
            </w:tcMar>
            <w:vAlign w:val="center"/>
          </w:tcPr>
          <w:p>
            <w:pPr>
              <w:pStyle w:val="TableText"/>
              <w:spacing w:after="0"/>
              <w:jc w:val="center"/>
            </w:pPr>
            <w:r>
              <w:t>LOW–MODERATE because of copy status and year conflict.</w:t>
            </w:r>
          </w:p>
        </w:tc>
      </w:tr>
      <w:tr>
        <w:trPr>
          <w:cantSplit/>
        </w:trPr>
        <w:tc>
          <w:tcPr>
            <w:tcW w:type="dxa" w:w="900"/>
            <w:shd w:fill="F8F9FA"/>
            <w:tcMar>
              <w:top w:w="80" w:type="dxa"/>
              <w:bottom w:w="80" w:type="dxa"/>
              <w:start w:w="120" w:type="dxa"/>
              <w:end w:w="120" w:type="dxa"/>
            </w:tcMar>
            <w:vAlign w:val="center"/>
          </w:tcPr>
          <w:p>
            <w:pPr>
              <w:pStyle w:val="TableText"/>
              <w:spacing w:after="0"/>
              <w:jc w:val="center"/>
            </w:pPr>
            <w:r>
              <w:t>A07</w:t>
            </w:r>
          </w:p>
        </w:tc>
        <w:tc>
          <w:tcPr>
            <w:tcW w:type="dxa" w:w="1700"/>
            <w:shd w:fill="F8F9FA"/>
            <w:tcMar>
              <w:top w:w="80" w:type="dxa"/>
              <w:bottom w:w="80" w:type="dxa"/>
              <w:start w:w="120" w:type="dxa"/>
              <w:end w:w="120" w:type="dxa"/>
            </w:tcMar>
            <w:vAlign w:val="center"/>
          </w:tcPr>
          <w:p>
            <w:pPr>
              <w:pStyle w:val="TableText"/>
              <w:spacing w:after="0"/>
              <w:jc w:val="center"/>
            </w:pPr>
            <w:r>
              <w:t>Purported 24 Sep 1577</w:t>
            </w:r>
          </w:p>
        </w:tc>
        <w:tc>
          <w:tcPr>
            <w:tcW w:type="dxa" w:w="4800"/>
            <w:shd w:fill="F8F9FA"/>
            <w:tcMar>
              <w:top w:w="80" w:type="dxa"/>
              <w:bottom w:w="80" w:type="dxa"/>
              <w:start w:w="120" w:type="dxa"/>
              <w:end w:w="120" w:type="dxa"/>
            </w:tcMar>
            <w:vAlign w:val="center"/>
          </w:tcPr>
          <w:p>
            <w:pPr>
              <w:pStyle w:val="TableText"/>
              <w:spacing w:after="0"/>
              <w:jc w:val="left"/>
            </w:pPr>
            <w:r>
              <w:t>Land Rights Doc. 7; M.M. 8; Arith inhabitants → Jīva; stated sale for Rs.14.</w:t>
            </w:r>
          </w:p>
        </w:tc>
        <w:tc>
          <w:tcPr>
            <w:tcW w:type="dxa" w:w="1960"/>
            <w:shd w:fill="F8F9FA"/>
            <w:tcMar>
              <w:top w:w="80" w:type="dxa"/>
              <w:bottom w:w="80" w:type="dxa"/>
              <w:start w:w="120" w:type="dxa"/>
              <w:end w:w="120" w:type="dxa"/>
            </w:tcMar>
            <w:vAlign w:val="center"/>
          </w:tcPr>
          <w:p>
            <w:pPr>
              <w:pStyle w:val="TableText"/>
              <w:spacing w:after="0"/>
              <w:jc w:val="center"/>
            </w:pPr>
            <w:r>
              <w:t>MODERATE for the recorded pond-well association</w:t>
            </w:r>
          </w:p>
        </w:tc>
      </w:tr>
      <w:tr>
        <w:trPr>
          <w:cantSplit/>
        </w:trPr>
        <w:tc>
          <w:tcPr>
            <w:tcW w:type="dxa" w:w="900"/>
            <w:tcMar>
              <w:top w:w="80" w:type="dxa"/>
              <w:bottom w:w="80" w:type="dxa"/>
              <w:start w:w="120" w:type="dxa"/>
              <w:end w:w="120" w:type="dxa"/>
            </w:tcMar>
            <w:vAlign w:val="center"/>
          </w:tcPr>
          <w:p>
            <w:pPr>
              <w:pStyle w:val="TableText"/>
              <w:spacing w:after="0"/>
              <w:jc w:val="center"/>
            </w:pPr>
            <w:r>
              <w:t>A08</w:t>
            </w:r>
          </w:p>
        </w:tc>
        <w:tc>
          <w:tcPr>
            <w:tcW w:type="dxa" w:w="1700"/>
            <w:tcMar>
              <w:top w:w="80" w:type="dxa"/>
              <w:bottom w:w="80" w:type="dxa"/>
              <w:start w:w="120" w:type="dxa"/>
              <w:end w:w="120" w:type="dxa"/>
            </w:tcMar>
            <w:vAlign w:val="center"/>
          </w:tcPr>
          <w:p>
            <w:pPr>
              <w:pStyle w:val="TableText"/>
              <w:spacing w:after="0"/>
              <w:jc w:val="center"/>
            </w:pPr>
            <w:r>
              <w:t>Purported 25 Sep 1577; surviving copy seal-year 1716</w:t>
            </w:r>
          </w:p>
        </w:tc>
        <w:tc>
          <w:tcPr>
            <w:tcW w:type="dxa" w:w="4800"/>
            <w:tcMar>
              <w:top w:w="80" w:type="dxa"/>
              <w:bottom w:w="80" w:type="dxa"/>
              <w:start w:w="120" w:type="dxa"/>
              <w:end w:w="120" w:type="dxa"/>
            </w:tcMar>
            <w:vAlign w:val="center"/>
          </w:tcPr>
          <w:p>
            <w:pPr>
              <w:pStyle w:val="TableText"/>
              <w:spacing w:after="0"/>
              <w:jc w:val="left"/>
            </w:pPr>
            <w:r>
              <w:t>Land Rights Doc. 8; M.M. 10; Arith inhabitants → Jīva through Raghunātha; stated sale for Rs.44.</w:t>
            </w:r>
          </w:p>
        </w:tc>
        <w:tc>
          <w:tcPr>
            <w:tcW w:type="dxa" w:w="1960"/>
            <w:tcMar>
              <w:top w:w="80" w:type="dxa"/>
              <w:bottom w:w="80" w:type="dxa"/>
              <w:start w:w="120" w:type="dxa"/>
              <w:end w:w="120" w:type="dxa"/>
            </w:tcMar>
            <w:vAlign w:val="center"/>
          </w:tcPr>
          <w:p>
            <w:pPr>
              <w:pStyle w:val="TableText"/>
              <w:spacing w:after="0"/>
              <w:jc w:val="center"/>
            </w:pPr>
            <w:r>
              <w:t>LOW for price/date reconstruction</w:t>
            </w:r>
          </w:p>
        </w:tc>
      </w:tr>
      <w:tr>
        <w:trPr>
          <w:cantSplit/>
        </w:trPr>
        <w:tc>
          <w:tcPr>
            <w:tcW w:type="dxa" w:w="900"/>
            <w:shd w:fill="F8F9FA"/>
            <w:tcMar>
              <w:top w:w="80" w:type="dxa"/>
              <w:bottom w:w="80" w:type="dxa"/>
              <w:start w:w="120" w:type="dxa"/>
              <w:end w:w="120" w:type="dxa"/>
            </w:tcMar>
            <w:vAlign w:val="center"/>
          </w:tcPr>
          <w:p>
            <w:pPr>
              <w:pStyle w:val="TableText"/>
              <w:spacing w:after="0"/>
              <w:jc w:val="center"/>
            </w:pPr>
            <w:r>
              <w:t>A09</w:t>
            </w:r>
          </w:p>
        </w:tc>
        <w:tc>
          <w:tcPr>
            <w:tcW w:type="dxa" w:w="1700"/>
            <w:shd w:fill="F8F9FA"/>
            <w:tcMar>
              <w:top w:w="80" w:type="dxa"/>
              <w:bottom w:w="80" w:type="dxa"/>
              <w:start w:w="120" w:type="dxa"/>
              <w:end w:w="120" w:type="dxa"/>
            </w:tcMar>
            <w:vAlign w:val="center"/>
          </w:tcPr>
          <w:p>
            <w:pPr>
              <w:pStyle w:val="TableText"/>
              <w:spacing w:after="0"/>
              <w:jc w:val="center"/>
            </w:pPr>
            <w:r>
              <w:t>Purported 17 Apr 1578</w:t>
            </w:r>
          </w:p>
        </w:tc>
        <w:tc>
          <w:tcPr>
            <w:tcW w:type="dxa" w:w="4800"/>
            <w:shd w:fill="F8F9FA"/>
            <w:tcMar>
              <w:top w:w="80" w:type="dxa"/>
              <w:bottom w:w="80" w:type="dxa"/>
              <w:start w:w="120" w:type="dxa"/>
              <w:end w:w="120" w:type="dxa"/>
            </w:tcMar>
            <w:vAlign w:val="center"/>
          </w:tcPr>
          <w:p>
            <w:pPr>
              <w:pStyle w:val="TableText"/>
              <w:spacing w:after="0"/>
              <w:jc w:val="left"/>
            </w:pPr>
            <w:r>
              <w:t>Land Rights Doc. 9; M.M. 6; Arith inhabitants → Jīva; stated sale for Rs.80.</w:t>
            </w:r>
          </w:p>
        </w:tc>
        <w:tc>
          <w:tcPr>
            <w:tcW w:type="dxa" w:w="1960"/>
            <w:shd w:fill="F8F9FA"/>
            <w:tcMar>
              <w:top w:w="80" w:type="dxa"/>
              <w:bottom w:w="80" w:type="dxa"/>
              <w:start w:w="120" w:type="dxa"/>
              <w:end w:w="120" w:type="dxa"/>
            </w:tcMar>
            <w:vAlign w:val="center"/>
          </w:tcPr>
          <w:p>
            <w:pPr>
              <w:pStyle w:val="TableText"/>
              <w:spacing w:after="0"/>
              <w:jc w:val="center"/>
            </w:pPr>
            <w:r>
              <w:t>MODERATE for boundary tradition</w:t>
            </w:r>
          </w:p>
        </w:tc>
      </w:tr>
      <w:tr>
        <w:trPr>
          <w:cantSplit/>
        </w:trPr>
        <w:tc>
          <w:tcPr>
            <w:tcW w:type="dxa" w:w="900"/>
            <w:tcMar>
              <w:top w:w="80" w:type="dxa"/>
              <w:bottom w:w="80" w:type="dxa"/>
              <w:start w:w="120" w:type="dxa"/>
              <w:end w:w="120" w:type="dxa"/>
            </w:tcMar>
            <w:vAlign w:val="center"/>
          </w:tcPr>
          <w:p>
            <w:pPr>
              <w:pStyle w:val="TableText"/>
              <w:spacing w:after="0"/>
              <w:jc w:val="center"/>
            </w:pPr>
            <w:r>
              <w:t>A10</w:t>
            </w:r>
          </w:p>
        </w:tc>
        <w:tc>
          <w:tcPr>
            <w:tcW w:type="dxa" w:w="1700"/>
            <w:tcMar>
              <w:top w:w="80" w:type="dxa"/>
              <w:bottom w:w="80" w:type="dxa"/>
              <w:start w:w="120" w:type="dxa"/>
              <w:end w:w="120" w:type="dxa"/>
            </w:tcMar>
            <w:vAlign w:val="center"/>
          </w:tcPr>
          <w:p>
            <w:pPr>
              <w:pStyle w:val="TableText"/>
              <w:spacing w:after="0"/>
              <w:jc w:val="center"/>
            </w:pPr>
            <w:r>
              <w:t>29 Nov 1579</w:t>
            </w:r>
          </w:p>
        </w:tc>
        <w:tc>
          <w:tcPr>
            <w:tcW w:type="dxa" w:w="4800"/>
            <w:tcMar>
              <w:top w:w="80" w:type="dxa"/>
              <w:bottom w:w="80" w:type="dxa"/>
              <w:start w:w="120" w:type="dxa"/>
              <w:end w:w="120" w:type="dxa"/>
            </w:tcMar>
            <w:vAlign w:val="center"/>
          </w:tcPr>
          <w:p>
            <w:pPr>
              <w:pStyle w:val="TableText"/>
              <w:spacing w:after="0"/>
              <w:jc w:val="left"/>
            </w:pPr>
            <w:r>
              <w:t>Land Rights Doc. 10; R.D. No. 11; Seven Arith inhabitants/headmen; collective declaration; Gopāldāsa as Jīva’s agent; stated sale of six wasteland plots for Rs.238.</w:t>
            </w:r>
          </w:p>
        </w:tc>
        <w:tc>
          <w:tcPr>
            <w:tcW w:type="dxa" w:w="1960"/>
            <w:tcMar>
              <w:top w:w="80" w:type="dxa"/>
              <w:bottom w:w="80" w:type="dxa"/>
              <w:start w:w="120" w:type="dxa"/>
              <w:end w:w="120" w:type="dxa"/>
            </w:tcMar>
            <w:vAlign w:val="center"/>
          </w:tcPr>
          <w:p>
            <w:pPr>
              <w:pStyle w:val="TableText"/>
              <w:spacing w:after="0"/>
              <w:jc w:val="center"/>
            </w:pPr>
            <w:r>
              <w:t>HIGH for document/date/content</w:t>
            </w:r>
          </w:p>
        </w:tc>
      </w:tr>
      <w:tr>
        <w:trPr>
          <w:cantSplit/>
        </w:trPr>
        <w:tc>
          <w:tcPr>
            <w:tcW w:type="dxa" w:w="900"/>
            <w:shd w:fill="F8F9FA"/>
            <w:tcMar>
              <w:top w:w="80" w:type="dxa"/>
              <w:bottom w:w="80" w:type="dxa"/>
              <w:start w:w="120" w:type="dxa"/>
              <w:end w:w="120" w:type="dxa"/>
            </w:tcMar>
            <w:vAlign w:val="center"/>
          </w:tcPr>
          <w:p>
            <w:pPr>
              <w:pStyle w:val="TableText"/>
              <w:spacing w:after="0"/>
              <w:jc w:val="center"/>
            </w:pPr>
            <w:r>
              <w:t>A11</w:t>
            </w:r>
          </w:p>
        </w:tc>
        <w:tc>
          <w:tcPr>
            <w:tcW w:type="dxa" w:w="1700"/>
            <w:shd w:fill="F8F9FA"/>
            <w:tcMar>
              <w:top w:w="80" w:type="dxa"/>
              <w:bottom w:w="80" w:type="dxa"/>
              <w:start w:w="120" w:type="dxa"/>
              <w:end w:w="120" w:type="dxa"/>
            </w:tcMar>
            <w:vAlign w:val="center"/>
          </w:tcPr>
          <w:p>
            <w:pPr>
              <w:pStyle w:val="TableText"/>
              <w:spacing w:after="0"/>
              <w:jc w:val="center"/>
            </w:pPr>
            <w:r>
              <w:t>7 Rajab 996 / 2 Jun 1588</w:t>
            </w:r>
          </w:p>
        </w:tc>
        <w:tc>
          <w:tcPr>
            <w:tcW w:type="dxa" w:w="4800"/>
            <w:shd w:fill="F8F9FA"/>
            <w:tcMar>
              <w:top w:w="80" w:type="dxa"/>
              <w:bottom w:w="80" w:type="dxa"/>
              <w:start w:w="120" w:type="dxa"/>
              <w:end w:w="120" w:type="dxa"/>
            </w:tcMar>
            <w:vAlign w:val="center"/>
          </w:tcPr>
          <w:p>
            <w:pPr>
              <w:pStyle w:val="TableText"/>
              <w:spacing w:after="0"/>
              <w:jc w:val="left"/>
            </w:pPr>
            <w:r>
              <w:t>Land Rights Doc. 11; G.D. 8; copy M.M. 1; Raghunātha declares earlier purchase of six plots for aggregate Rs.238 and makes hiba to Jīva.</w:t>
            </w:r>
          </w:p>
        </w:tc>
        <w:tc>
          <w:tcPr>
            <w:tcW w:type="dxa" w:w="1960"/>
            <w:shd w:fill="F8F9FA"/>
            <w:tcMar>
              <w:top w:w="80" w:type="dxa"/>
              <w:bottom w:w="80" w:type="dxa"/>
              <w:start w:w="120" w:type="dxa"/>
              <w:end w:w="120" w:type="dxa"/>
            </w:tcMar>
            <w:vAlign w:val="center"/>
          </w:tcPr>
          <w:p>
            <w:pPr>
              <w:pStyle w:val="TableText"/>
              <w:spacing w:after="0"/>
              <w:jc w:val="center"/>
            </w:pPr>
            <w:r>
              <w:t>HIGH for the 1588 declaration and stated aggregate purchase price/gift</w:t>
            </w:r>
          </w:p>
        </w:tc>
      </w:tr>
      <w:tr>
        <w:trPr>
          <w:cantSplit/>
        </w:trPr>
        <w:tc>
          <w:tcPr>
            <w:tcW w:type="dxa" w:w="900"/>
            <w:tcMar>
              <w:top w:w="80" w:type="dxa"/>
              <w:bottom w:w="80" w:type="dxa"/>
              <w:start w:w="120" w:type="dxa"/>
              <w:end w:w="120" w:type="dxa"/>
            </w:tcMar>
            <w:vAlign w:val="center"/>
          </w:tcPr>
          <w:p>
            <w:pPr>
              <w:pStyle w:val="TableText"/>
              <w:spacing w:after="0"/>
              <w:jc w:val="center"/>
            </w:pPr>
            <w:r>
              <w:t>A12</w:t>
            </w:r>
          </w:p>
        </w:tc>
        <w:tc>
          <w:tcPr>
            <w:tcW w:type="dxa" w:w="1700"/>
            <w:tcMar>
              <w:top w:w="80" w:type="dxa"/>
              <w:bottom w:w="80" w:type="dxa"/>
              <w:start w:w="120" w:type="dxa"/>
              <w:end w:w="120" w:type="dxa"/>
            </w:tcMar>
            <w:vAlign w:val="center"/>
          </w:tcPr>
          <w:p>
            <w:pPr>
              <w:pStyle w:val="TableText"/>
              <w:spacing w:after="0"/>
              <w:jc w:val="center"/>
            </w:pPr>
            <w:r>
              <w:t>11 Sep 1598 (grant process 14 Jun–23 Sep 1598)</w:t>
            </w:r>
          </w:p>
        </w:tc>
        <w:tc>
          <w:tcPr>
            <w:tcW w:type="dxa" w:w="4800"/>
            <w:tcMar>
              <w:top w:w="80" w:type="dxa"/>
              <w:bottom w:w="80" w:type="dxa"/>
              <w:start w:w="120" w:type="dxa"/>
              <w:end w:w="120" w:type="dxa"/>
            </w:tcMar>
            <w:vAlign w:val="center"/>
          </w:tcPr>
          <w:p>
            <w:pPr>
              <w:pStyle w:val="TableText"/>
              <w:spacing w:after="0"/>
              <w:jc w:val="left"/>
            </w:pPr>
            <w:r>
              <w:t>Akbar farmān; NAI-2671/1; Zimn III(xviii); Akbar’s administration; temple survey by Abu’l Fazl with named paṇḍits; grant to devala of Rādhā-kuṇḍa.</w:t>
            </w:r>
          </w:p>
        </w:tc>
        <w:tc>
          <w:tcPr>
            <w:tcW w:type="dxa" w:w="1960"/>
            <w:tcMar>
              <w:top w:w="80" w:type="dxa"/>
              <w:bottom w:w="80" w:type="dxa"/>
              <w:start w:w="120" w:type="dxa"/>
              <w:end w:w="120" w:type="dxa"/>
            </w:tcMar>
            <w:vAlign w:val="center"/>
          </w:tcPr>
          <w:p>
            <w:pPr>
              <w:pStyle w:val="TableText"/>
              <w:spacing w:after="0"/>
              <w:jc w:val="center"/>
            </w:pPr>
            <w:r>
              <w:t>HIGH for temple/grant</w:t>
            </w:r>
          </w:p>
        </w:tc>
      </w:tr>
      <w:tr>
        <w:trPr>
          <w:cantSplit/>
        </w:trPr>
        <w:tc>
          <w:tcPr>
            <w:tcW w:type="dxa" w:w="900"/>
            <w:shd w:fill="F8F9FA"/>
            <w:tcMar>
              <w:top w:w="80" w:type="dxa"/>
              <w:bottom w:w="80" w:type="dxa"/>
              <w:start w:w="120" w:type="dxa"/>
              <w:end w:w="120" w:type="dxa"/>
            </w:tcMar>
            <w:vAlign w:val="center"/>
          </w:tcPr>
          <w:p>
            <w:pPr>
              <w:pStyle w:val="TableText"/>
              <w:spacing w:after="0"/>
              <w:jc w:val="center"/>
            </w:pPr>
            <w:r>
              <w:t>A13</w:t>
            </w:r>
          </w:p>
        </w:tc>
        <w:tc>
          <w:tcPr>
            <w:tcW w:type="dxa" w:w="1700"/>
            <w:shd w:fill="F8F9FA"/>
            <w:tcMar>
              <w:top w:w="80" w:type="dxa"/>
              <w:bottom w:w="80" w:type="dxa"/>
              <w:start w:w="120" w:type="dxa"/>
              <w:end w:w="120" w:type="dxa"/>
            </w:tcMar>
            <w:vAlign w:val="center"/>
          </w:tcPr>
          <w:p>
            <w:pPr>
              <w:pStyle w:val="TableText"/>
              <w:spacing w:after="0"/>
              <w:jc w:val="center"/>
            </w:pPr>
            <w:r>
              <w:t>V.S. 1694 / 1637</w:t>
            </w:r>
          </w:p>
        </w:tc>
        <w:tc>
          <w:tcPr>
            <w:tcW w:type="dxa" w:w="4800"/>
            <w:shd w:fill="F8F9FA"/>
            <w:tcMar>
              <w:top w:w="80" w:type="dxa"/>
              <w:bottom w:w="80" w:type="dxa"/>
              <w:start w:w="120" w:type="dxa"/>
              <w:end w:w="120" w:type="dxa"/>
            </w:tcMar>
            <w:vAlign w:val="center"/>
          </w:tcPr>
          <w:p>
            <w:pPr>
              <w:pStyle w:val="TableText"/>
              <w:spacing w:after="0"/>
              <w:jc w:val="left"/>
            </w:pPr>
            <w:r>
              <w:t>Kṛṣṇadāsa bilingual statement; published Plate III; Declarant Kṛṣṇadāsa son of Bharatācārya → Purohita Chaudhuri Śrī Kiśora Soti; kṛṣṇārpaṇa conveyance.</w:t>
            </w:r>
          </w:p>
        </w:tc>
        <w:tc>
          <w:tcPr>
            <w:tcW w:type="dxa" w:w="1960"/>
            <w:shd w:fill="F8F9FA"/>
            <w:tcMar>
              <w:top w:w="80" w:type="dxa"/>
              <w:bottom w:w="80" w:type="dxa"/>
              <w:start w:w="120" w:type="dxa"/>
              <w:end w:w="120" w:type="dxa"/>
            </w:tcMar>
            <w:vAlign w:val="center"/>
          </w:tcPr>
          <w:p>
            <w:pPr>
              <w:pStyle w:val="TableText"/>
              <w:spacing w:after="0"/>
              <w:jc w:val="center"/>
            </w:pPr>
            <w:r>
              <w:t>HIGH for identity distinction, succession and conveyance</w:t>
            </w:r>
          </w:p>
        </w:tc>
      </w:tr>
      <w:tr>
        <w:trPr>
          <w:cantSplit/>
        </w:trPr>
        <w:tc>
          <w:tcPr>
            <w:tcW w:type="dxa" w:w="900"/>
            <w:tcMar>
              <w:top w:w="80" w:type="dxa"/>
              <w:bottom w:w="80" w:type="dxa"/>
              <w:start w:w="120" w:type="dxa"/>
              <w:end w:w="120" w:type="dxa"/>
            </w:tcMar>
            <w:vAlign w:val="center"/>
          </w:tcPr>
          <w:p>
            <w:pPr>
              <w:pStyle w:val="TableText"/>
              <w:spacing w:after="0"/>
              <w:jc w:val="center"/>
            </w:pPr>
            <w:r>
              <w:t>A14</w:t>
            </w:r>
          </w:p>
        </w:tc>
        <w:tc>
          <w:tcPr>
            <w:tcW w:type="dxa" w:w="1700"/>
            <w:tcMar>
              <w:top w:w="80" w:type="dxa"/>
              <w:bottom w:w="80" w:type="dxa"/>
              <w:start w:w="120" w:type="dxa"/>
              <w:end w:w="120" w:type="dxa"/>
            </w:tcMar>
            <w:vAlign w:val="center"/>
          </w:tcPr>
          <w:p>
            <w:pPr>
              <w:pStyle w:val="TableText"/>
              <w:spacing w:after="0"/>
              <w:jc w:val="center"/>
            </w:pPr>
            <w:r>
              <w:t>Date lost; working narrative assigns AH 1050 / 1640–41</w:t>
            </w:r>
          </w:p>
        </w:tc>
        <w:tc>
          <w:tcPr>
            <w:tcW w:type="dxa" w:w="4800"/>
            <w:tcMar>
              <w:top w:w="80" w:type="dxa"/>
              <w:bottom w:w="80" w:type="dxa"/>
              <w:start w:w="120" w:type="dxa"/>
              <w:end w:w="120" w:type="dxa"/>
            </w:tcMar>
            <w:vAlign w:val="center"/>
          </w:tcPr>
          <w:p>
            <w:pPr>
              <w:pStyle w:val="TableText"/>
              <w:spacing w:after="0"/>
              <w:jc w:val="left"/>
            </w:pPr>
            <w:r>
              <w:t>Rādhākuṇḍa 119; unidentified official parwāna; Unidentified official → village authorities; prohibition on singhāra cultivation.</w:t>
            </w:r>
          </w:p>
        </w:tc>
        <w:tc>
          <w:tcPr>
            <w:tcW w:type="dxa" w:w="1960"/>
            <w:tcMar>
              <w:top w:w="80" w:type="dxa"/>
              <w:bottom w:w="80" w:type="dxa"/>
              <w:start w:w="120" w:type="dxa"/>
              <w:end w:w="120" w:type="dxa"/>
            </w:tcMar>
            <w:vAlign w:val="center"/>
          </w:tcPr>
          <w:p>
            <w:pPr>
              <w:pStyle w:val="TableText"/>
              <w:spacing w:after="0"/>
              <w:jc w:val="center"/>
            </w:pPr>
            <w:r>
              <w:t>MODERATE for content</w:t>
            </w:r>
          </w:p>
        </w:tc>
      </w:tr>
      <w:tr>
        <w:trPr>
          <w:cantSplit/>
        </w:trPr>
        <w:tc>
          <w:tcPr>
            <w:tcW w:type="dxa" w:w="900"/>
            <w:shd w:fill="F8F9FA"/>
            <w:tcMar>
              <w:top w:w="80" w:type="dxa"/>
              <w:bottom w:w="80" w:type="dxa"/>
              <w:start w:w="120" w:type="dxa"/>
              <w:end w:w="120" w:type="dxa"/>
            </w:tcMar>
            <w:vAlign w:val="center"/>
          </w:tcPr>
          <w:p>
            <w:pPr>
              <w:pStyle w:val="TableText"/>
              <w:spacing w:after="0"/>
              <w:jc w:val="center"/>
            </w:pPr>
            <w:r>
              <w:t>A15</w:t>
            </w:r>
          </w:p>
        </w:tc>
        <w:tc>
          <w:tcPr>
            <w:tcW w:type="dxa" w:w="1700"/>
            <w:shd w:fill="F8F9FA"/>
            <w:tcMar>
              <w:top w:w="80" w:type="dxa"/>
              <w:bottom w:w="80" w:type="dxa"/>
              <w:start w:w="120" w:type="dxa"/>
              <w:end w:w="120" w:type="dxa"/>
            </w:tcMar>
            <w:vAlign w:val="center"/>
          </w:tcPr>
          <w:p>
            <w:pPr>
              <w:pStyle w:val="TableText"/>
              <w:spacing w:after="0"/>
              <w:jc w:val="center"/>
            </w:pPr>
            <w:r>
              <w:t>AH 1051 / 1641</w:t>
            </w:r>
          </w:p>
        </w:tc>
        <w:tc>
          <w:tcPr>
            <w:tcW w:type="dxa" w:w="4800"/>
            <w:shd w:fill="F8F9FA"/>
            <w:tcMar>
              <w:top w:w="80" w:type="dxa"/>
              <w:bottom w:w="80" w:type="dxa"/>
              <w:start w:w="120" w:type="dxa"/>
              <w:end w:w="120" w:type="dxa"/>
            </w:tcMar>
            <w:vAlign w:val="center"/>
          </w:tcPr>
          <w:p>
            <w:pPr>
              <w:pStyle w:val="TableText"/>
              <w:spacing w:after="0"/>
              <w:jc w:val="left"/>
            </w:pPr>
            <w:r>
              <w:t>R.D. No. 9; headmen’s acknowledgement; Āriṭ headmen acknowledge invalid Rs.20 resale to Khamānand after Kṛṣṇadāsa challenges it.</w:t>
            </w:r>
          </w:p>
        </w:tc>
        <w:tc>
          <w:tcPr>
            <w:tcW w:type="dxa" w:w="1960"/>
            <w:shd w:fill="F8F9FA"/>
            <w:tcMar>
              <w:top w:w="80" w:type="dxa"/>
              <w:bottom w:w="80" w:type="dxa"/>
              <w:start w:w="120" w:type="dxa"/>
              <w:end w:w="120" w:type="dxa"/>
            </w:tcMar>
            <w:vAlign w:val="center"/>
          </w:tcPr>
          <w:p>
            <w:pPr>
              <w:pStyle w:val="TableText"/>
              <w:spacing w:after="0"/>
              <w:jc w:val="center"/>
            </w:pPr>
            <w:r>
              <w:t>HIGH for Habib’s documentary summary</w:t>
            </w:r>
          </w:p>
        </w:tc>
      </w:tr>
      <w:tr>
        <w:trPr>
          <w:cantSplit/>
        </w:trPr>
        <w:tc>
          <w:tcPr>
            <w:tcW w:type="dxa" w:w="900"/>
            <w:tcMar>
              <w:top w:w="80" w:type="dxa"/>
              <w:bottom w:w="80" w:type="dxa"/>
              <w:start w:w="120" w:type="dxa"/>
              <w:end w:w="120" w:type="dxa"/>
            </w:tcMar>
            <w:vAlign w:val="center"/>
          </w:tcPr>
          <w:p>
            <w:pPr>
              <w:pStyle w:val="TableText"/>
              <w:spacing w:after="0"/>
              <w:jc w:val="center"/>
            </w:pPr>
            <w:r>
              <w:t>A16</w:t>
            </w:r>
          </w:p>
        </w:tc>
        <w:tc>
          <w:tcPr>
            <w:tcW w:type="dxa" w:w="1700"/>
            <w:tcMar>
              <w:top w:w="80" w:type="dxa"/>
              <w:bottom w:w="80" w:type="dxa"/>
              <w:start w:w="120" w:type="dxa"/>
              <w:end w:w="120" w:type="dxa"/>
            </w:tcMar>
            <w:vAlign w:val="center"/>
          </w:tcPr>
          <w:p>
            <w:pPr>
              <w:pStyle w:val="TableText"/>
              <w:spacing w:after="0"/>
              <w:jc w:val="center"/>
            </w:pPr>
            <w:r>
              <w:t>AH 1052 / 1642</w:t>
            </w:r>
          </w:p>
        </w:tc>
        <w:tc>
          <w:tcPr>
            <w:tcW w:type="dxa" w:w="4800"/>
            <w:tcMar>
              <w:top w:w="80" w:type="dxa"/>
              <w:bottom w:w="80" w:type="dxa"/>
              <w:start w:w="120" w:type="dxa"/>
              <w:end w:w="120" w:type="dxa"/>
            </w:tcMar>
            <w:vAlign w:val="center"/>
          </w:tcPr>
          <w:p>
            <w:pPr>
              <w:pStyle w:val="TableText"/>
              <w:spacing w:after="0"/>
              <w:jc w:val="left"/>
            </w:pPr>
            <w:r>
              <w:t>M.M. No. 4; bilingual undertaking; Headmen Bari Khan, Chand/Chandrasen and Girdhar → Gosāin Kṛṣṇadāsa; undertaking.</w:t>
            </w:r>
          </w:p>
        </w:tc>
        <w:tc>
          <w:tcPr>
            <w:tcW w:type="dxa" w:w="1960"/>
            <w:tcMar>
              <w:top w:w="80" w:type="dxa"/>
              <w:bottom w:w="80" w:type="dxa"/>
              <w:start w:w="120" w:type="dxa"/>
              <w:end w:w="120" w:type="dxa"/>
            </w:tcMar>
            <w:vAlign w:val="center"/>
          </w:tcPr>
          <w:p>
            <w:pPr>
              <w:pStyle w:val="TableText"/>
              <w:spacing w:after="0"/>
              <w:jc w:val="center"/>
            </w:pPr>
            <w:r>
              <w:t>HIGH for AH 1052/1642 and content</w:t>
            </w:r>
          </w:p>
        </w:tc>
      </w:tr>
      <w:tr>
        <w:trPr>
          <w:cantSplit/>
        </w:trPr>
        <w:tc>
          <w:tcPr>
            <w:tcW w:type="dxa" w:w="900"/>
            <w:shd w:fill="F8F9FA"/>
            <w:tcMar>
              <w:top w:w="80" w:type="dxa"/>
              <w:bottom w:w="80" w:type="dxa"/>
              <w:start w:w="120" w:type="dxa"/>
              <w:end w:w="120" w:type="dxa"/>
            </w:tcMar>
            <w:vAlign w:val="center"/>
          </w:tcPr>
          <w:p>
            <w:pPr>
              <w:pStyle w:val="TableText"/>
              <w:spacing w:after="0"/>
              <w:jc w:val="center"/>
            </w:pPr>
            <w:r>
              <w:t>A17</w:t>
            </w:r>
          </w:p>
        </w:tc>
        <w:tc>
          <w:tcPr>
            <w:tcW w:type="dxa" w:w="1700"/>
            <w:shd w:fill="F8F9FA"/>
            <w:tcMar>
              <w:top w:w="80" w:type="dxa"/>
              <w:bottom w:w="80" w:type="dxa"/>
              <w:start w:w="120" w:type="dxa"/>
              <w:end w:w="120" w:type="dxa"/>
            </w:tcMar>
            <w:vAlign w:val="center"/>
          </w:tcPr>
          <w:p>
            <w:pPr>
              <w:pStyle w:val="TableText"/>
              <w:spacing w:after="0"/>
              <w:jc w:val="center"/>
            </w:pPr>
            <w:r>
              <w:t>AH 1055 / 1645–46</w:t>
            </w:r>
          </w:p>
        </w:tc>
        <w:tc>
          <w:tcPr>
            <w:tcW w:type="dxa" w:w="4800"/>
            <w:shd w:fill="F8F9FA"/>
            <w:tcMar>
              <w:top w:w="80" w:type="dxa"/>
              <w:bottom w:w="80" w:type="dxa"/>
              <w:start w:w="120" w:type="dxa"/>
              <w:end w:w="120" w:type="dxa"/>
            </w:tcMar>
            <w:vAlign w:val="center"/>
          </w:tcPr>
          <w:p>
            <w:pPr>
              <w:pStyle w:val="TableText"/>
              <w:spacing w:after="0"/>
              <w:jc w:val="left"/>
            </w:pPr>
            <w:r>
              <w:t>Rādhākuṇḍa 104; official letter to Sukhdev; Official → Sukhdev, shiqqdār of pargana Sahar, on Kṛṣṇadāsa’s complaint.</w:t>
            </w:r>
          </w:p>
        </w:tc>
        <w:tc>
          <w:tcPr>
            <w:tcW w:type="dxa" w:w="1960"/>
            <w:shd w:fill="F8F9FA"/>
            <w:tcMar>
              <w:top w:w="80" w:type="dxa"/>
              <w:bottom w:w="80" w:type="dxa"/>
              <w:start w:w="120" w:type="dxa"/>
              <w:end w:w="120" w:type="dxa"/>
            </w:tcMar>
            <w:vAlign w:val="center"/>
          </w:tcPr>
          <w:p>
            <w:pPr>
              <w:pStyle w:val="TableText"/>
              <w:spacing w:after="0"/>
              <w:jc w:val="center"/>
            </w:pPr>
            <w:r>
              <w:t>HIGH for content/date range</w:t>
            </w:r>
          </w:p>
        </w:tc>
      </w:tr>
      <w:tr>
        <w:trPr>
          <w:cantSplit/>
        </w:trPr>
        <w:tc>
          <w:tcPr>
            <w:tcW w:type="dxa" w:w="900"/>
            <w:tcMar>
              <w:top w:w="80" w:type="dxa"/>
              <w:bottom w:w="80" w:type="dxa"/>
              <w:start w:w="120" w:type="dxa"/>
              <w:end w:w="120" w:type="dxa"/>
            </w:tcMar>
            <w:vAlign w:val="center"/>
          </w:tcPr>
          <w:p>
            <w:pPr>
              <w:pStyle w:val="TableText"/>
              <w:spacing w:after="0"/>
              <w:jc w:val="center"/>
            </w:pPr>
            <w:r>
              <w:t>A18</w:t>
            </w:r>
          </w:p>
        </w:tc>
        <w:tc>
          <w:tcPr>
            <w:tcW w:type="dxa" w:w="1700"/>
            <w:tcMar>
              <w:top w:w="80" w:type="dxa"/>
              <w:bottom w:w="80" w:type="dxa"/>
              <w:start w:w="120" w:type="dxa"/>
              <w:end w:w="120" w:type="dxa"/>
            </w:tcMar>
            <w:vAlign w:val="center"/>
          </w:tcPr>
          <w:p>
            <w:pPr>
              <w:pStyle w:val="TableText"/>
              <w:spacing w:after="0"/>
              <w:jc w:val="center"/>
            </w:pPr>
            <w:r>
              <w:t>21 Ramaḍān 1055 / 10 Nov 1645</w:t>
            </w:r>
          </w:p>
        </w:tc>
        <w:tc>
          <w:tcPr>
            <w:tcW w:type="dxa" w:w="4800"/>
            <w:tcMar>
              <w:top w:w="80" w:type="dxa"/>
              <w:bottom w:w="80" w:type="dxa"/>
              <w:start w:w="120" w:type="dxa"/>
              <w:end w:w="120" w:type="dxa"/>
            </w:tcMar>
            <w:vAlign w:val="center"/>
          </w:tcPr>
          <w:p>
            <w:pPr>
              <w:pStyle w:val="TableText"/>
              <w:spacing w:after="0"/>
              <w:jc w:val="left"/>
            </w:pPr>
            <w:r>
              <w:t>Rādhākuṇḍa 102; copy; Āriṭ headmen → Sukhdev; pledge.</w:t>
            </w:r>
          </w:p>
        </w:tc>
        <w:tc>
          <w:tcPr>
            <w:tcW w:type="dxa" w:w="1960"/>
            <w:tcMar>
              <w:top w:w="80" w:type="dxa"/>
              <w:bottom w:w="80" w:type="dxa"/>
              <w:start w:w="120" w:type="dxa"/>
              <w:end w:w="120" w:type="dxa"/>
            </w:tcMar>
            <w:vAlign w:val="center"/>
          </w:tcPr>
          <w:p>
            <w:pPr>
              <w:pStyle w:val="TableText"/>
              <w:spacing w:after="0"/>
              <w:jc w:val="center"/>
            </w:pPr>
            <w:r>
              <w:t>HIGH for exact date and summarized content.</w:t>
            </w:r>
          </w:p>
        </w:tc>
      </w:tr>
      <w:tr>
        <w:trPr>
          <w:cantSplit/>
        </w:trPr>
        <w:tc>
          <w:tcPr>
            <w:tcW w:type="dxa" w:w="900"/>
            <w:shd w:fill="F8F9FA"/>
            <w:tcMar>
              <w:top w:w="80" w:type="dxa"/>
              <w:bottom w:w="80" w:type="dxa"/>
              <w:start w:w="120" w:type="dxa"/>
              <w:end w:w="120" w:type="dxa"/>
            </w:tcMar>
            <w:vAlign w:val="center"/>
          </w:tcPr>
          <w:p>
            <w:pPr>
              <w:pStyle w:val="TableText"/>
              <w:spacing w:after="0"/>
              <w:jc w:val="center"/>
            </w:pPr>
            <w:r>
              <w:t>A19</w:t>
            </w:r>
          </w:p>
        </w:tc>
        <w:tc>
          <w:tcPr>
            <w:tcW w:type="dxa" w:w="1700"/>
            <w:shd w:fill="F8F9FA"/>
            <w:tcMar>
              <w:top w:w="80" w:type="dxa"/>
              <w:bottom w:w="80" w:type="dxa"/>
              <w:start w:w="120" w:type="dxa"/>
              <w:end w:w="120" w:type="dxa"/>
            </w:tcMar>
            <w:vAlign w:val="center"/>
          </w:tcPr>
          <w:p>
            <w:pPr>
              <w:pStyle w:val="TableText"/>
              <w:spacing w:after="0"/>
              <w:jc w:val="center"/>
            </w:pPr>
            <w:r>
              <w:t>20th regnal year of Shahjahan / 1646</w:t>
            </w:r>
          </w:p>
        </w:tc>
        <w:tc>
          <w:tcPr>
            <w:tcW w:type="dxa" w:w="4800"/>
            <w:shd w:fill="F8F9FA"/>
            <w:tcMar>
              <w:top w:w="80" w:type="dxa"/>
              <w:bottom w:w="80" w:type="dxa"/>
              <w:start w:w="120" w:type="dxa"/>
              <w:end w:w="120" w:type="dxa"/>
            </w:tcMar>
            <w:vAlign w:val="center"/>
          </w:tcPr>
          <w:p>
            <w:pPr>
              <w:pStyle w:val="TableText"/>
              <w:spacing w:after="0"/>
              <w:jc w:val="left"/>
            </w:pPr>
            <w:r>
              <w:t>R.D. No. 12; Budh Singh parwāna; Budh Singh → local officials/inhabitants; protective order.</w:t>
            </w:r>
          </w:p>
        </w:tc>
        <w:tc>
          <w:tcPr>
            <w:tcW w:type="dxa" w:w="1960"/>
            <w:shd w:fill="F8F9FA"/>
            <w:tcMar>
              <w:top w:w="80" w:type="dxa"/>
              <w:bottom w:w="80" w:type="dxa"/>
              <w:start w:w="120" w:type="dxa"/>
              <w:end w:w="120" w:type="dxa"/>
            </w:tcMar>
            <w:vAlign w:val="center"/>
          </w:tcPr>
          <w:p>
            <w:pPr>
              <w:pStyle w:val="TableText"/>
              <w:spacing w:after="0"/>
              <w:jc w:val="center"/>
            </w:pPr>
            <w:r>
              <w:t>HIGH for broad order</w:t>
            </w:r>
          </w:p>
        </w:tc>
      </w:tr>
      <w:tr>
        <w:trPr>
          <w:cantSplit/>
        </w:trPr>
        <w:tc>
          <w:tcPr>
            <w:tcW w:type="dxa" w:w="900"/>
            <w:tcMar>
              <w:top w:w="80" w:type="dxa"/>
              <w:bottom w:w="80" w:type="dxa"/>
              <w:start w:w="120" w:type="dxa"/>
              <w:end w:w="120" w:type="dxa"/>
            </w:tcMar>
            <w:vAlign w:val="center"/>
          </w:tcPr>
          <w:p>
            <w:pPr>
              <w:pStyle w:val="TableText"/>
              <w:spacing w:after="0"/>
              <w:jc w:val="center"/>
            </w:pPr>
            <w:r>
              <w:t>A20</w:t>
            </w:r>
          </w:p>
        </w:tc>
        <w:tc>
          <w:tcPr>
            <w:tcW w:type="dxa" w:w="1700"/>
            <w:tcMar>
              <w:top w:w="80" w:type="dxa"/>
              <w:bottom w:w="80" w:type="dxa"/>
              <w:start w:w="120" w:type="dxa"/>
              <w:end w:w="120" w:type="dxa"/>
            </w:tcMar>
            <w:vAlign w:val="center"/>
          </w:tcPr>
          <w:p>
            <w:pPr>
              <w:pStyle w:val="TableText"/>
              <w:spacing w:after="0"/>
              <w:jc w:val="center"/>
            </w:pPr>
            <w:r>
              <w:t>32nd regnal year Shahjahan / 1658</w:t>
            </w:r>
          </w:p>
        </w:tc>
        <w:tc>
          <w:tcPr>
            <w:tcW w:type="dxa" w:w="4800"/>
            <w:tcMar>
              <w:top w:w="80" w:type="dxa"/>
              <w:bottom w:w="80" w:type="dxa"/>
              <w:start w:w="120" w:type="dxa"/>
              <w:end w:w="120" w:type="dxa"/>
            </w:tcMar>
            <w:vAlign w:val="center"/>
          </w:tcPr>
          <w:p>
            <w:pPr>
              <w:pStyle w:val="TableText"/>
              <w:spacing w:after="0"/>
              <w:jc w:val="left"/>
            </w:pPr>
            <w:r>
              <w:t>IVS No. 217; bilingual statement; Murlīdhara clarifies purchase for Sītaldāsa; three Brahman sellers; Rs.24.</w:t>
            </w:r>
          </w:p>
        </w:tc>
        <w:tc>
          <w:tcPr>
            <w:tcW w:type="dxa" w:w="1960"/>
            <w:tcMar>
              <w:top w:w="80" w:type="dxa"/>
              <w:bottom w:w="80" w:type="dxa"/>
              <w:start w:w="120" w:type="dxa"/>
              <w:end w:w="120" w:type="dxa"/>
            </w:tcMar>
            <w:vAlign w:val="center"/>
          </w:tcPr>
          <w:p>
            <w:pPr>
              <w:pStyle w:val="TableText"/>
              <w:spacing w:after="0"/>
              <w:jc w:val="center"/>
            </w:pPr>
            <w:r>
              <w:t>HIGH for reported transaction</w:t>
            </w:r>
          </w:p>
        </w:tc>
      </w:tr>
      <w:tr>
        <w:trPr>
          <w:cantSplit/>
        </w:trPr>
        <w:tc>
          <w:tcPr>
            <w:tcW w:type="dxa" w:w="900"/>
            <w:shd w:fill="F8F9FA"/>
            <w:tcMar>
              <w:top w:w="80" w:type="dxa"/>
              <w:bottom w:w="80" w:type="dxa"/>
              <w:start w:w="120" w:type="dxa"/>
              <w:end w:w="120" w:type="dxa"/>
            </w:tcMar>
            <w:vAlign w:val="center"/>
          </w:tcPr>
          <w:p>
            <w:pPr>
              <w:pStyle w:val="TableText"/>
              <w:spacing w:after="0"/>
              <w:jc w:val="center"/>
            </w:pPr>
            <w:r>
              <w:t>A21</w:t>
            </w:r>
          </w:p>
        </w:tc>
        <w:tc>
          <w:tcPr>
            <w:tcW w:type="dxa" w:w="1700"/>
            <w:shd w:fill="F8F9FA"/>
            <w:tcMar>
              <w:top w:w="80" w:type="dxa"/>
              <w:bottom w:w="80" w:type="dxa"/>
              <w:start w:w="120" w:type="dxa"/>
              <w:end w:w="120" w:type="dxa"/>
            </w:tcMar>
            <w:vAlign w:val="center"/>
          </w:tcPr>
          <w:p>
            <w:pPr>
              <w:pStyle w:val="TableText"/>
              <w:spacing w:after="0"/>
              <w:jc w:val="center"/>
            </w:pPr>
            <w:r>
              <w:t>1667</w:t>
            </w:r>
          </w:p>
        </w:tc>
        <w:tc>
          <w:tcPr>
            <w:tcW w:type="dxa" w:w="4800"/>
            <w:shd w:fill="F8F9FA"/>
            <w:tcMar>
              <w:top w:w="80" w:type="dxa"/>
              <w:bottom w:w="80" w:type="dxa"/>
              <w:start w:w="120" w:type="dxa"/>
              <w:end w:w="120" w:type="dxa"/>
            </w:tcMar>
            <w:vAlign w:val="center"/>
          </w:tcPr>
          <w:p>
            <w:pPr>
              <w:pStyle w:val="TableText"/>
              <w:spacing w:after="0"/>
              <w:jc w:val="left"/>
            </w:pPr>
            <w:r>
              <w:t>IVS 190; bilingual sale deed; Four villagers → Gosāins Maṇikaṇṭha and Kamala Naina; later note records further sale.</w:t>
            </w:r>
          </w:p>
        </w:tc>
        <w:tc>
          <w:tcPr>
            <w:tcW w:type="dxa" w:w="1960"/>
            <w:shd w:fill="F8F9FA"/>
            <w:tcMar>
              <w:top w:w="80" w:type="dxa"/>
              <w:bottom w:w="80" w:type="dxa"/>
              <w:start w:w="120" w:type="dxa"/>
              <w:end w:w="120" w:type="dxa"/>
            </w:tcMar>
            <w:vAlign w:val="center"/>
          </w:tcPr>
          <w:p>
            <w:pPr>
              <w:pStyle w:val="TableText"/>
              <w:spacing w:after="0"/>
              <w:jc w:val="center"/>
            </w:pPr>
            <w:r>
              <w:t>HIGH for temple/transaction in Habib’s reading.</w:t>
            </w:r>
          </w:p>
        </w:tc>
      </w:tr>
      <w:tr>
        <w:trPr>
          <w:cantSplit/>
        </w:trPr>
        <w:tc>
          <w:tcPr>
            <w:tcW w:type="dxa" w:w="900"/>
            <w:tcMar>
              <w:top w:w="80" w:type="dxa"/>
              <w:bottom w:w="80" w:type="dxa"/>
              <w:start w:w="120" w:type="dxa"/>
              <w:end w:w="120" w:type="dxa"/>
            </w:tcMar>
            <w:vAlign w:val="center"/>
          </w:tcPr>
          <w:p>
            <w:pPr>
              <w:pStyle w:val="TableText"/>
              <w:spacing w:after="0"/>
              <w:jc w:val="center"/>
            </w:pPr>
            <w:r>
              <w:t>A22</w:t>
            </w:r>
          </w:p>
        </w:tc>
        <w:tc>
          <w:tcPr>
            <w:tcW w:type="dxa" w:w="1700"/>
            <w:tcMar>
              <w:top w:w="80" w:type="dxa"/>
              <w:bottom w:w="80" w:type="dxa"/>
              <w:start w:w="120" w:type="dxa"/>
              <w:end w:w="120" w:type="dxa"/>
            </w:tcMar>
            <w:vAlign w:val="center"/>
          </w:tcPr>
          <w:p>
            <w:pPr>
              <w:pStyle w:val="TableText"/>
              <w:spacing w:after="0"/>
              <w:jc w:val="center"/>
            </w:pPr>
            <w:r>
              <w:t>AH 1080 / 1669</w:t>
            </w:r>
          </w:p>
        </w:tc>
        <w:tc>
          <w:tcPr>
            <w:tcW w:type="dxa" w:w="4800"/>
            <w:tcMar>
              <w:top w:w="80" w:type="dxa"/>
              <w:bottom w:w="80" w:type="dxa"/>
              <w:start w:w="120" w:type="dxa"/>
              <w:end w:w="120" w:type="dxa"/>
            </w:tcMar>
            <w:vAlign w:val="center"/>
          </w:tcPr>
          <w:p>
            <w:pPr>
              <w:pStyle w:val="TableText"/>
              <w:spacing w:after="0"/>
              <w:jc w:val="left"/>
            </w:pPr>
            <w:r>
              <w:t>R.D. No. 57; headmen’s pledge; Āriṭ headmen → authority, at Braj Kunwar’s initiative.</w:t>
            </w:r>
          </w:p>
        </w:tc>
        <w:tc>
          <w:tcPr>
            <w:tcW w:type="dxa" w:w="1960"/>
            <w:tcMar>
              <w:top w:w="80" w:type="dxa"/>
              <w:bottom w:w="80" w:type="dxa"/>
              <w:start w:w="120" w:type="dxa"/>
              <w:end w:w="120" w:type="dxa"/>
            </w:tcMar>
            <w:vAlign w:val="center"/>
          </w:tcPr>
          <w:p>
            <w:pPr>
              <w:pStyle w:val="TableText"/>
              <w:spacing w:after="0"/>
              <w:jc w:val="center"/>
            </w:pPr>
            <w:r>
              <w:t>HIGH for content/date.</w:t>
            </w:r>
          </w:p>
        </w:tc>
      </w:tr>
      <w:tr>
        <w:trPr>
          <w:cantSplit/>
        </w:trPr>
        <w:tc>
          <w:tcPr>
            <w:tcW w:type="dxa" w:w="900"/>
            <w:shd w:fill="F8F9FA"/>
            <w:tcMar>
              <w:top w:w="80" w:type="dxa"/>
              <w:bottom w:w="80" w:type="dxa"/>
              <w:start w:w="120" w:type="dxa"/>
              <w:end w:w="120" w:type="dxa"/>
            </w:tcMar>
            <w:vAlign w:val="center"/>
          </w:tcPr>
          <w:p>
            <w:pPr>
              <w:pStyle w:val="TableText"/>
              <w:spacing w:after="0"/>
              <w:jc w:val="center"/>
            </w:pPr>
            <w:r>
              <w:t>A23</w:t>
            </w:r>
          </w:p>
        </w:tc>
        <w:tc>
          <w:tcPr>
            <w:tcW w:type="dxa" w:w="1700"/>
            <w:shd w:fill="F8F9FA"/>
            <w:tcMar>
              <w:top w:w="80" w:type="dxa"/>
              <w:bottom w:w="80" w:type="dxa"/>
              <w:start w:w="120" w:type="dxa"/>
              <w:end w:w="120" w:type="dxa"/>
            </w:tcMar>
            <w:vAlign w:val="center"/>
          </w:tcPr>
          <w:p>
            <w:pPr>
              <w:pStyle w:val="TableText"/>
              <w:spacing w:after="0"/>
              <w:jc w:val="center"/>
            </w:pPr>
            <w:r>
              <w:t>1676</w:t>
            </w:r>
          </w:p>
        </w:tc>
        <w:tc>
          <w:tcPr>
            <w:tcW w:type="dxa" w:w="4800"/>
            <w:shd w:fill="F8F9FA"/>
            <w:tcMar>
              <w:top w:w="80" w:type="dxa"/>
              <w:bottom w:w="80" w:type="dxa"/>
              <w:start w:w="120" w:type="dxa"/>
              <w:end w:w="120" w:type="dxa"/>
            </w:tcMar>
            <w:vAlign w:val="center"/>
          </w:tcPr>
          <w:p>
            <w:pPr>
              <w:pStyle w:val="TableText"/>
              <w:spacing w:after="0"/>
              <w:jc w:val="left"/>
            </w:pPr>
            <w:r>
              <w:t>R.D. No. 95; Mubariz Khan parwāna; Braj Kunwar and Parmanand complain; Sayyid Mubariz Khan orders non-interference.</w:t>
            </w:r>
          </w:p>
        </w:tc>
        <w:tc>
          <w:tcPr>
            <w:tcW w:type="dxa" w:w="1960"/>
            <w:shd w:fill="F8F9FA"/>
            <w:tcMar>
              <w:top w:w="80" w:type="dxa"/>
              <w:bottom w:w="80" w:type="dxa"/>
              <w:start w:w="120" w:type="dxa"/>
              <w:end w:w="120" w:type="dxa"/>
            </w:tcMar>
            <w:vAlign w:val="center"/>
          </w:tcPr>
          <w:p>
            <w:pPr>
              <w:pStyle w:val="TableText"/>
              <w:spacing w:after="0"/>
              <w:jc w:val="center"/>
            </w:pPr>
            <w:r>
              <w:t>HIGH for broad content and naming evidence.</w:t>
            </w:r>
          </w:p>
        </w:tc>
      </w:tr>
      <w:tr>
        <w:trPr>
          <w:cantSplit/>
        </w:trPr>
        <w:tc>
          <w:tcPr>
            <w:tcW w:type="dxa" w:w="900"/>
            <w:tcMar>
              <w:top w:w="80" w:type="dxa"/>
              <w:bottom w:w="80" w:type="dxa"/>
              <w:start w:w="120" w:type="dxa"/>
              <w:end w:w="120" w:type="dxa"/>
            </w:tcMar>
            <w:vAlign w:val="center"/>
          </w:tcPr>
          <w:p>
            <w:pPr>
              <w:pStyle w:val="TableText"/>
              <w:spacing w:after="0"/>
              <w:jc w:val="center"/>
            </w:pPr>
            <w:r>
              <w:t>A24</w:t>
            </w:r>
          </w:p>
        </w:tc>
        <w:tc>
          <w:tcPr>
            <w:tcW w:type="dxa" w:w="1700"/>
            <w:tcMar>
              <w:top w:w="80" w:type="dxa"/>
              <w:bottom w:w="80" w:type="dxa"/>
              <w:start w:w="120" w:type="dxa"/>
              <w:end w:w="120" w:type="dxa"/>
            </w:tcMar>
            <w:vAlign w:val="center"/>
          </w:tcPr>
          <w:p>
            <w:pPr>
              <w:pStyle w:val="TableText"/>
              <w:spacing w:after="0"/>
              <w:jc w:val="center"/>
            </w:pPr>
            <w:r>
              <w:t>AH 1121 / 1710</w:t>
            </w:r>
          </w:p>
        </w:tc>
        <w:tc>
          <w:tcPr>
            <w:tcW w:type="dxa" w:w="4800"/>
            <w:tcMar>
              <w:top w:w="80" w:type="dxa"/>
              <w:bottom w:w="80" w:type="dxa"/>
              <w:start w:w="120" w:type="dxa"/>
              <w:end w:w="120" w:type="dxa"/>
            </w:tcMar>
            <w:vAlign w:val="center"/>
          </w:tcPr>
          <w:p>
            <w:pPr>
              <w:pStyle w:val="TableText"/>
              <w:spacing w:after="0"/>
              <w:jc w:val="left"/>
            </w:pPr>
            <w:r>
              <w:t>Govind-dev Collection hibanāma; Gobind Charan → designated successor Jagannātha; hiba of possessions.</w:t>
            </w:r>
          </w:p>
        </w:tc>
        <w:tc>
          <w:tcPr>
            <w:tcW w:type="dxa" w:w="1960"/>
            <w:tcMar>
              <w:top w:w="80" w:type="dxa"/>
              <w:bottom w:w="80" w:type="dxa"/>
              <w:start w:w="120" w:type="dxa"/>
              <w:end w:w="120" w:type="dxa"/>
            </w:tcMar>
            <w:vAlign w:val="center"/>
          </w:tcPr>
          <w:p>
            <w:pPr>
              <w:pStyle w:val="TableText"/>
              <w:spacing w:after="0"/>
              <w:jc w:val="center"/>
            </w:pPr>
            <w:r>
              <w:t>HIGH for transferred asset list</w:t>
            </w:r>
          </w:p>
        </w:tc>
      </w:tr>
      <w:tr>
        <w:trPr>
          <w:cantSplit/>
        </w:trPr>
        <w:tc>
          <w:tcPr>
            <w:tcW w:type="dxa" w:w="900"/>
            <w:shd w:fill="F8F9FA"/>
            <w:tcMar>
              <w:top w:w="80" w:type="dxa"/>
              <w:bottom w:w="80" w:type="dxa"/>
              <w:start w:w="120" w:type="dxa"/>
              <w:end w:w="120" w:type="dxa"/>
            </w:tcMar>
            <w:vAlign w:val="center"/>
          </w:tcPr>
          <w:p>
            <w:pPr>
              <w:pStyle w:val="TableText"/>
              <w:spacing w:after="0"/>
              <w:jc w:val="center"/>
            </w:pPr>
            <w:r>
              <w:t>A25</w:t>
            </w:r>
          </w:p>
        </w:tc>
        <w:tc>
          <w:tcPr>
            <w:tcW w:type="dxa" w:w="1700"/>
            <w:shd w:fill="F8F9FA"/>
            <w:tcMar>
              <w:top w:w="80" w:type="dxa"/>
              <w:bottom w:w="80" w:type="dxa"/>
              <w:start w:w="120" w:type="dxa"/>
              <w:end w:w="120" w:type="dxa"/>
            </w:tcMar>
            <w:vAlign w:val="center"/>
          </w:tcPr>
          <w:p>
            <w:pPr>
              <w:pStyle w:val="TableText"/>
              <w:spacing w:after="0"/>
              <w:jc w:val="center"/>
            </w:pPr>
            <w:r>
              <w:t>V.S. 1770 / Mar 1713</w:t>
            </w:r>
          </w:p>
        </w:tc>
        <w:tc>
          <w:tcPr>
            <w:tcW w:type="dxa" w:w="4800"/>
            <w:shd w:fill="F8F9FA"/>
            <w:tcMar>
              <w:top w:w="80" w:type="dxa"/>
              <w:bottom w:w="80" w:type="dxa"/>
              <w:start w:w="120" w:type="dxa"/>
              <w:end w:w="120" w:type="dxa"/>
            </w:tcMar>
            <w:vAlign w:val="center"/>
          </w:tcPr>
          <w:p>
            <w:pPr>
              <w:pStyle w:val="TableText"/>
              <w:spacing w:after="0"/>
              <w:jc w:val="left"/>
            </w:pPr>
            <w:r>
              <w:t>Wright No. 17; Braj headmen’s declaration; Āriṭ zamīndārs/muqaddams declare allegiance to Jagannātha, Govind-dev custodian.</w:t>
            </w:r>
          </w:p>
        </w:tc>
        <w:tc>
          <w:tcPr>
            <w:tcW w:type="dxa" w:w="1960"/>
            <w:shd w:fill="F8F9FA"/>
            <w:tcMar>
              <w:top w:w="80" w:type="dxa"/>
              <w:bottom w:w="80" w:type="dxa"/>
              <w:start w:w="120" w:type="dxa"/>
              <w:end w:w="120" w:type="dxa"/>
            </w:tcMar>
            <w:vAlign w:val="center"/>
          </w:tcPr>
          <w:p>
            <w:pPr>
              <w:pStyle w:val="TableText"/>
              <w:spacing w:after="0"/>
              <w:jc w:val="center"/>
            </w:pPr>
            <w:r>
              <w:t>HIGH for a 1713 claim</w:t>
            </w:r>
          </w:p>
        </w:tc>
      </w:tr>
      <w:tr>
        <w:trPr>
          <w:cantSplit/>
        </w:trPr>
        <w:tc>
          <w:tcPr>
            <w:tcW w:type="dxa" w:w="900"/>
            <w:tcMar>
              <w:top w:w="80" w:type="dxa"/>
              <w:bottom w:w="80" w:type="dxa"/>
              <w:start w:w="120" w:type="dxa"/>
              <w:end w:w="120" w:type="dxa"/>
            </w:tcMar>
            <w:vAlign w:val="center"/>
          </w:tcPr>
          <w:p>
            <w:pPr>
              <w:pStyle w:val="TableText"/>
              <w:spacing w:after="0"/>
              <w:jc w:val="center"/>
            </w:pPr>
            <w:r>
              <w:t>A26</w:t>
            </w:r>
          </w:p>
        </w:tc>
        <w:tc>
          <w:tcPr>
            <w:tcW w:type="dxa" w:w="1700"/>
            <w:tcMar>
              <w:top w:w="80" w:type="dxa"/>
              <w:bottom w:w="80" w:type="dxa"/>
              <w:start w:w="120" w:type="dxa"/>
              <w:end w:w="120" w:type="dxa"/>
            </w:tcMar>
            <w:vAlign w:val="center"/>
          </w:tcPr>
          <w:p>
            <w:pPr>
              <w:pStyle w:val="TableText"/>
              <w:spacing w:after="0"/>
              <w:jc w:val="center"/>
            </w:pPr>
            <w:r>
              <w:t>V.S. 1773 / 1716</w:t>
            </w:r>
          </w:p>
        </w:tc>
        <w:tc>
          <w:tcPr>
            <w:tcW w:type="dxa" w:w="4800"/>
            <w:tcMar>
              <w:top w:w="80" w:type="dxa"/>
              <w:bottom w:w="80" w:type="dxa"/>
              <w:start w:w="120" w:type="dxa"/>
              <w:end w:w="120" w:type="dxa"/>
            </w:tcMar>
            <w:vAlign w:val="center"/>
          </w:tcPr>
          <w:p>
            <w:pPr>
              <w:pStyle w:val="TableText"/>
              <w:spacing w:after="0"/>
              <w:jc w:val="left"/>
            </w:pPr>
            <w:r>
              <w:t>NAI-2671/21; bilingual declaration; Āriṭ headmen reaffirm Jagannātha’s authority and exclusions.</w:t>
            </w:r>
          </w:p>
        </w:tc>
        <w:tc>
          <w:tcPr>
            <w:tcW w:type="dxa" w:w="1960"/>
            <w:tcMar>
              <w:top w:w="80" w:type="dxa"/>
              <w:bottom w:w="80" w:type="dxa"/>
              <w:start w:w="120" w:type="dxa"/>
              <w:end w:w="120" w:type="dxa"/>
            </w:tcMar>
            <w:vAlign w:val="center"/>
          </w:tcPr>
          <w:p>
            <w:pPr>
              <w:pStyle w:val="TableText"/>
              <w:spacing w:after="0"/>
              <w:jc w:val="center"/>
            </w:pPr>
            <w:r>
              <w:t>HIGH for 1716 institutional claim</w:t>
            </w:r>
          </w:p>
        </w:tc>
      </w:tr>
      <w:tr>
        <w:trPr>
          <w:cantSplit/>
        </w:trPr>
        <w:tc>
          <w:tcPr>
            <w:tcW w:type="dxa" w:w="900"/>
            <w:shd w:fill="F8F9FA"/>
            <w:tcMar>
              <w:top w:w="80" w:type="dxa"/>
              <w:bottom w:w="80" w:type="dxa"/>
              <w:start w:w="120" w:type="dxa"/>
              <w:end w:w="120" w:type="dxa"/>
            </w:tcMar>
            <w:vAlign w:val="center"/>
          </w:tcPr>
          <w:p>
            <w:pPr>
              <w:pStyle w:val="TableText"/>
              <w:spacing w:after="0"/>
              <w:jc w:val="center"/>
            </w:pPr>
            <w:r>
              <w:t>A27</w:t>
            </w:r>
          </w:p>
        </w:tc>
        <w:tc>
          <w:tcPr>
            <w:tcW w:type="dxa" w:w="1700"/>
            <w:shd w:fill="F8F9FA"/>
            <w:tcMar>
              <w:top w:w="80" w:type="dxa"/>
              <w:bottom w:w="80" w:type="dxa"/>
              <w:start w:w="120" w:type="dxa"/>
              <w:end w:w="120" w:type="dxa"/>
            </w:tcMar>
            <w:vAlign w:val="center"/>
          </w:tcPr>
          <w:p>
            <w:pPr>
              <w:pStyle w:val="TableText"/>
              <w:spacing w:after="0"/>
              <w:jc w:val="center"/>
            </w:pPr>
            <w:r>
              <w:t>1720</w:t>
            </w:r>
          </w:p>
        </w:tc>
        <w:tc>
          <w:tcPr>
            <w:tcW w:type="dxa" w:w="4800"/>
            <w:shd w:fill="F8F9FA"/>
            <w:tcMar>
              <w:top w:w="80" w:type="dxa"/>
              <w:bottom w:w="80" w:type="dxa"/>
              <w:start w:w="120" w:type="dxa"/>
              <w:end w:w="120" w:type="dxa"/>
            </w:tcMar>
            <w:vAlign w:val="center"/>
          </w:tcPr>
          <w:p>
            <w:pPr>
              <w:pStyle w:val="TableText"/>
              <w:spacing w:after="0"/>
              <w:jc w:val="left"/>
            </w:pPr>
            <w:r>
              <w:t>R.D. 27, 47, 213, 40; M.M. unnumbered parwānas; Gopī Raman complains against Nāthu Ram; officials uphold restraint.</w:t>
            </w:r>
          </w:p>
        </w:tc>
        <w:tc>
          <w:tcPr>
            <w:tcW w:type="dxa" w:w="1960"/>
            <w:shd w:fill="F8F9FA"/>
            <w:tcMar>
              <w:top w:w="80" w:type="dxa"/>
              <w:bottom w:w="80" w:type="dxa"/>
              <w:start w:w="120" w:type="dxa"/>
              <w:end w:w="120" w:type="dxa"/>
            </w:tcMar>
            <w:vAlign w:val="center"/>
          </w:tcPr>
          <w:p>
            <w:pPr>
              <w:pStyle w:val="TableText"/>
              <w:spacing w:after="0"/>
              <w:jc w:val="center"/>
            </w:pPr>
            <w:r>
              <w:t>HIGH for existence of claims/orders</w:t>
            </w:r>
          </w:p>
        </w:tc>
      </w:tr>
      <w:tr>
        <w:trPr>
          <w:cantSplit/>
        </w:trPr>
        <w:tc>
          <w:tcPr>
            <w:tcW w:type="dxa" w:w="900"/>
            <w:tcMar>
              <w:top w:w="80" w:type="dxa"/>
              <w:bottom w:w="80" w:type="dxa"/>
              <w:start w:w="120" w:type="dxa"/>
              <w:end w:w="120" w:type="dxa"/>
            </w:tcMar>
            <w:vAlign w:val="center"/>
          </w:tcPr>
          <w:p>
            <w:pPr>
              <w:pStyle w:val="TableText"/>
              <w:spacing w:after="0"/>
              <w:jc w:val="center"/>
            </w:pPr>
            <w:r>
              <w:t>A28</w:t>
            </w:r>
          </w:p>
        </w:tc>
        <w:tc>
          <w:tcPr>
            <w:tcW w:type="dxa" w:w="1700"/>
            <w:tcMar>
              <w:top w:w="80" w:type="dxa"/>
              <w:bottom w:w="80" w:type="dxa"/>
              <w:start w:w="120" w:type="dxa"/>
              <w:end w:w="120" w:type="dxa"/>
            </w:tcMar>
            <w:vAlign w:val="center"/>
          </w:tcPr>
          <w:p>
            <w:pPr>
              <w:pStyle w:val="TableText"/>
              <w:spacing w:after="0"/>
              <w:jc w:val="center"/>
            </w:pPr>
            <w:r>
              <w:t>1722</w:t>
            </w:r>
          </w:p>
        </w:tc>
        <w:tc>
          <w:tcPr>
            <w:tcW w:type="dxa" w:w="4800"/>
            <w:tcMar>
              <w:top w:w="80" w:type="dxa"/>
              <w:bottom w:w="80" w:type="dxa"/>
              <w:start w:w="120" w:type="dxa"/>
              <w:end w:w="120" w:type="dxa"/>
            </w:tcMar>
            <w:vAlign w:val="center"/>
          </w:tcPr>
          <w:p>
            <w:pPr>
              <w:pStyle w:val="TableText"/>
              <w:spacing w:after="0"/>
              <w:jc w:val="left"/>
            </w:pPr>
            <w:r>
              <w:t>M.M. No. 82; gift in puṇyārtha; Eight zamīndārs of four families → Gosāin Subal Dāsa, Madan Mohan custodian.</w:t>
            </w:r>
          </w:p>
        </w:tc>
        <w:tc>
          <w:tcPr>
            <w:tcW w:type="dxa" w:w="1960"/>
            <w:tcMar>
              <w:top w:w="80" w:type="dxa"/>
              <w:bottom w:w="80" w:type="dxa"/>
              <w:start w:w="120" w:type="dxa"/>
              <w:end w:w="120" w:type="dxa"/>
            </w:tcMar>
            <w:vAlign w:val="center"/>
          </w:tcPr>
          <w:p>
            <w:pPr>
              <w:pStyle w:val="TableText"/>
              <w:spacing w:after="0"/>
              <w:jc w:val="center"/>
            </w:pPr>
            <w:r>
              <w:t>HIGH for reported deed.</w:t>
            </w:r>
          </w:p>
        </w:tc>
      </w:tr>
      <w:tr>
        <w:trPr>
          <w:cantSplit/>
        </w:trPr>
        <w:tc>
          <w:tcPr>
            <w:tcW w:type="dxa" w:w="900"/>
            <w:shd w:fill="F8F9FA"/>
            <w:tcMar>
              <w:top w:w="80" w:type="dxa"/>
              <w:bottom w:w="80" w:type="dxa"/>
              <w:start w:w="120" w:type="dxa"/>
              <w:end w:w="120" w:type="dxa"/>
            </w:tcMar>
            <w:vAlign w:val="center"/>
          </w:tcPr>
          <w:p>
            <w:pPr>
              <w:pStyle w:val="TableText"/>
              <w:spacing w:after="0"/>
              <w:jc w:val="center"/>
            </w:pPr>
            <w:r>
              <w:t>A29</w:t>
            </w:r>
          </w:p>
        </w:tc>
        <w:tc>
          <w:tcPr>
            <w:tcW w:type="dxa" w:w="1700"/>
            <w:shd w:fill="F8F9FA"/>
            <w:tcMar>
              <w:top w:w="80" w:type="dxa"/>
              <w:bottom w:w="80" w:type="dxa"/>
              <w:start w:w="120" w:type="dxa"/>
              <w:end w:w="120" w:type="dxa"/>
            </w:tcMar>
            <w:vAlign w:val="center"/>
          </w:tcPr>
          <w:p>
            <w:pPr>
              <w:pStyle w:val="TableText"/>
              <w:spacing w:after="0"/>
              <w:jc w:val="center"/>
            </w:pPr>
            <w:r>
              <w:t>After 1725</w:t>
            </w:r>
          </w:p>
        </w:tc>
        <w:tc>
          <w:tcPr>
            <w:tcW w:type="dxa" w:w="4800"/>
            <w:shd w:fill="F8F9FA"/>
            <w:tcMar>
              <w:top w:w="80" w:type="dxa"/>
              <w:bottom w:w="80" w:type="dxa"/>
              <w:start w:w="120" w:type="dxa"/>
              <w:end w:w="120" w:type="dxa"/>
            </w:tcMar>
            <w:vAlign w:val="center"/>
          </w:tcPr>
          <w:p>
            <w:pPr>
              <w:pStyle w:val="TableText"/>
              <w:spacing w:after="0"/>
              <w:jc w:val="left"/>
            </w:pPr>
            <w:r>
              <w:t>CU; Braj Lal statement for public endorsement; Braj Lal complains of three Brahmans seizing/selling land; seeks civic endorsement and appeal to Savai Jai Singh.</w:t>
            </w:r>
          </w:p>
        </w:tc>
        <w:tc>
          <w:tcPr>
            <w:tcW w:type="dxa" w:w="1960"/>
            <w:shd w:fill="F8F9FA"/>
            <w:tcMar>
              <w:top w:w="80" w:type="dxa"/>
              <w:bottom w:w="80" w:type="dxa"/>
              <w:start w:w="120" w:type="dxa"/>
              <w:end w:w="120" w:type="dxa"/>
            </w:tcMar>
            <w:vAlign w:val="center"/>
          </w:tcPr>
          <w:p>
            <w:pPr>
              <w:pStyle w:val="TableText"/>
              <w:spacing w:after="0"/>
              <w:jc w:val="center"/>
            </w:pPr>
            <w:r>
              <w:t>HIGH for a post-1725 documentary claim and mound location</w:t>
            </w:r>
          </w:p>
        </w:tc>
      </w:tr>
    </w:tbl>
    <w:p>
      <w:pPr>
        <w:spacing w:after="100" w:line="252" w:lineRule="auto"/>
      </w:pPr>
    </w:p>
    <w:p>
      <w:pPr>
        <w:pStyle w:val="Heading1"/>
        <w:keepNext/>
      </w:pPr>
      <w:r>
        <w:t>4. Document-by-document evidence calendar</w:t>
      </w:r>
    </w:p>
    <w:p>
      <w:pPr>
        <w:pStyle w:val="Heading3"/>
        <w:keepNext/>
      </w:pPr>
      <w:r>
        <w:t>A01 — Purported 1537–38 — Land Rights Doc. 1; R.D. original (?)</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Braj; much damaged; authenticity/date rejected by Mukherjee–Habib because it uses rupaiya before Sher Shah and repeats the later seller set.</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Seven Arith panch/headmen → Raghunātha dāsa; sale deed; reported price about Rs.80.</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Village land; one of the retrospective components later used to support land acquisition and spoil-disposal claims.</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Mukherjee–Habib, ‘Land Rights,’ document calendar p.245; analysis pp.237–239.</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LOW for stated date; MODERATE as evidence of a later constructed title history.</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A deed text existed in the archive and formed part of the title dossier.</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prove a 1537–38 transaction or by itself date the excavation.</w:t>
            </w:r>
          </w:p>
        </w:tc>
      </w:tr>
    </w:tbl>
    <w:p>
      <w:pPr>
        <w:spacing w:after="100" w:line="252" w:lineRule="auto"/>
      </w:pPr>
    </w:p>
    <w:p>
      <w:pPr>
        <w:pStyle w:val="Heading3"/>
        <w:keepNext/>
      </w:pPr>
      <w:r>
        <w:t>A02 — Purported 14 Apr 1545 — Land Rights Doc. 2; R.D. copy</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Braj copy; same later copyist as Doc. 4; retrospective date highly suspect.</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Seven panch/muqaddams → Raghunātha dāsa; stated sale for Rs.30.</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Land south/west of Rādhā-kuṇḍa; cultivation edge, village/mound, market-garden and scrub boundaries.</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Mukherjee–Habib, calendar p.245; analysis pp.237–239.</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LOW for date; MODERATE for remembered micro-topography.</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The later title dossier associated Raghunātha with land adjoining the kuṇḍa and scrub/cultivation edges.</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securely date acquisition or prove that the pond already had its later form in 1545.</w:t>
            </w:r>
          </w:p>
        </w:tc>
      </w:tr>
    </w:tbl>
    <w:p>
      <w:pPr>
        <w:spacing w:after="100" w:line="252" w:lineRule="auto"/>
      </w:pPr>
    </w:p>
    <w:p>
      <w:pPr>
        <w:pStyle w:val="Heading3"/>
        <w:keepNext/>
      </w:pPr>
      <w:r>
        <w:t>A03 — Purported 13 Oct 1546; surviving copy 1727–28 — Land Rights Doc. 3; M.M. 14/17</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Persian copy verified by Qazi Zainul ‘Abidin; seal year AH 1140/1727–28.</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Arith inhabitants → Jīva Gosāin; sale for Rs.30.</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Land south/west of village; later listed as Plot 2 in the 1579/1588 collective records.</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Mukherjee–Habib, calendar p.245.</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LOW for transaction date; HIGH for existence of the eighteenth-century copy.</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One component of the retrospective Jīva title chain.</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Cannot override the 1588 declaration saying Raghunātha made the earlier purchases.</w:t>
            </w:r>
          </w:p>
        </w:tc>
      </w:tr>
    </w:tbl>
    <w:p>
      <w:pPr>
        <w:spacing w:after="100" w:line="252" w:lineRule="auto"/>
      </w:pPr>
    </w:p>
    <w:p>
      <w:pPr>
        <w:pStyle w:val="Heading3"/>
        <w:keepNext/>
      </w:pPr>
      <w:r>
        <w:t>A04 — Purported 6 May 1548 (or 1567–68) — Land Rights Doc. 4; R.D. copy</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Braj copy; date itself ambiguous; authenticity/date rejected.</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Panch → Raghunātha dāsa; sale for Rs.20 plus four cloths.</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Land south of Kṛṣṇa-kuṇḍa, beyond upper village toward market-garden; later cited in spoil-mound reconstruction.</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Mukherjee–Habib, calendar pp.245–246; Mukherjee–Wright p.316 n.20 for soil-dumping interpretation.</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LOW for date; MODERATE for later memory of the land’s function.</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The documentary tradition connected Raghunātha’s landholding with Kṛṣṇa-kuṇḍa and excavation spoil.</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securely prove a 1548 excavation.</w:t>
            </w:r>
          </w:p>
        </w:tc>
      </w:tr>
    </w:tbl>
    <w:p>
      <w:pPr>
        <w:spacing w:after="100" w:line="252" w:lineRule="auto"/>
      </w:pPr>
    </w:p>
    <w:p>
      <w:pPr>
        <w:pStyle w:val="Heading3"/>
        <w:keepNext/>
      </w:pPr>
      <w:r>
        <w:t>A05 — Purported 24 Aug 1577; year torn — Land Rights Doc. 5; M.M. 5</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Persian copy, verified by qazi; year torn and supplied by comparison with Doc. 11.</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Arith inhabitants → Jīva; stated sale for Rs.64.</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Land north of the pond bank/ghāṭ and large neem tree, to market-garden edge; Plot 6.</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Mukherjee–Habib, calendar p.246.</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LOW–MODERATE; date reconstructed from later listing.</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A Plot 6 tradition with ghāṭ, neem and market-garden boundaries.</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independently authenticate the purchase date or buyer.</w:t>
            </w:r>
          </w:p>
        </w:tc>
      </w:tr>
    </w:tbl>
    <w:p>
      <w:pPr>
        <w:spacing w:after="100" w:line="252" w:lineRule="auto"/>
      </w:pPr>
    </w:p>
    <w:p>
      <w:pPr>
        <w:pStyle w:val="Heading3"/>
        <w:keepNext/>
      </w:pPr>
      <w:r>
        <w:t>A06 — 30 Aug 1577; variant copy says 23 May 1587 — Land Rights Docs. 6 and 6A; M.M. 7 and M.M. 11/18</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Persian qazi-verified copies; 6A is a 1732–33 copy and gives a conflicting year.</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Arith inhabitants → Jīva; stated sale for Rs.20.</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Land of village associated with Kṛṣṇa-kuṇḍa, south of Do-ghāṭ and hins tree; Plot 4.</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Mukherjee–Habib, calendar p.246.</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LOW–MODERATE because of copy status and year conflict.</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A persistent Plot 4 boundary tradition.</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securely decide whether the component sale occurred in 1577 or 1587.</w:t>
            </w:r>
          </w:p>
        </w:tc>
      </w:tr>
    </w:tbl>
    <w:p>
      <w:pPr>
        <w:spacing w:after="100" w:line="252" w:lineRule="auto"/>
      </w:pPr>
    </w:p>
    <w:p>
      <w:pPr>
        <w:pStyle w:val="Heading3"/>
        <w:keepNext/>
      </w:pPr>
      <w:r>
        <w:t>A07 — Purported 24 Sep 1577 — Land Rights Doc. 7; M.M. 8</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Persian copy verified by Qazi Qutbuddin Husain.</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Arith inhabitants → Jīva; stated sale for Rs.14.</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Land including the ‘well of the tank’ (chāh-i talab), Plot 5.</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Mukherjee–Habib, calendar p.246; Habib, Braj Bhum, p.166.</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MODERATE for the recorded pond-well association; LOW–MODERATE for date/transaction sequence.</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The title dossier explicitly links a well with the tank complex.</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by itself say who dug the well or when.</w:t>
            </w:r>
          </w:p>
        </w:tc>
      </w:tr>
    </w:tbl>
    <w:p>
      <w:pPr>
        <w:spacing w:after="100" w:line="252" w:lineRule="auto"/>
      </w:pPr>
    </w:p>
    <w:p>
      <w:pPr>
        <w:pStyle w:val="Heading3"/>
        <w:keepNext/>
      </w:pPr>
      <w:r>
        <w:t>A08 — Purported 25 Sep 1577; surviving copy seal-year 1716 — Land Rights Doc. 8; M.M. 10</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Persian copy verified by Qazi Qutbuddin Husain; late copy.</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Arith inhabitants → Jīva through Raghunātha; stated sale for Rs.44.</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Land north from large neem to passage over the tank; price conflicts with Rs.30 for corresponding Plot 2 in Doc. 11.</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Mukherjee–Habib, calendar p.247; Habib, Braj Bhum, p.166 n.10.</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LOW for price/date reconstruction; HIGH that a late copy records the claim.</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A tank-passage boundary and a material internal price discrepancy.</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Cannot be added uncritically to the Rs.238 total.</w:t>
            </w:r>
          </w:p>
        </w:tc>
      </w:tr>
    </w:tbl>
    <w:p>
      <w:pPr>
        <w:spacing w:after="100" w:line="252" w:lineRule="auto"/>
      </w:pPr>
    </w:p>
    <w:p>
      <w:pPr>
        <w:pStyle w:val="Heading3"/>
        <w:keepNext/>
      </w:pPr>
      <w:r>
        <w:t>A09 — Purported 17 Apr 1578 — Land Rights Doc. 9; M.M. 6</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Persian qazi-verified copy.</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Arith inhabitants → Jīva; stated sale for Rs.80.</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Land associated with Kṛṣṇa-kuṇḍa; karail tree and Gobinda’s well north, nullah and hins tree east, Mahādeva temple south; Plot 3.</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Mukherjee–Habib, calendar p.247.</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MODERATE for boundary tradition; LOW–MODERATE for transaction date/buyer.</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A nālā/nullah and well formed explicit plot boundaries in the title dossier.</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state the direction of flow or prove Raghunātha constructed the nālā.</w:t>
            </w:r>
          </w:p>
        </w:tc>
      </w:tr>
    </w:tbl>
    <w:p>
      <w:pPr>
        <w:spacing w:after="100" w:line="252" w:lineRule="auto"/>
      </w:pPr>
    </w:p>
    <w:p>
      <w:pPr>
        <w:pStyle w:val="Heading3"/>
        <w:keepNext/>
      </w:pPr>
      <w:r>
        <w:t>A10 — 29 Nov 1579 — Land Rights Doc. 10; R.D. No. 11</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Original Persian declaration bearing seal of Qazi Badruddin Husain.</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Seven Arith inhabitants/headmen; collective declaration; Gopāldāsa as Jīva’s agent; stated sale of six wasteland plots for Rs.238.</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Six plots near Rādhā-kuṇḍa; cultivation limit, village mound/lane, karail, Gobinda well, nullah, Mahādeva temple, Do-ghāṭ, neem, market-garden.</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Mukherjee–Habib, calendar pp.247–248; Habib, Braj Bhum, pp.165–166.</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document/date/content; MODERATE for its claim that Jīva was original purchaser, which the authors regard as a legal fiction.</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Six wasteland plots and detailed late-sixteenth-century title/topographic vocabulary.</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securely prove the component purchase dates or that Jīva, rather than Raghunātha, made the original acquisitions.</w:t>
            </w:r>
          </w:p>
        </w:tc>
      </w:tr>
    </w:tbl>
    <w:p>
      <w:pPr>
        <w:spacing w:after="100" w:line="252" w:lineRule="auto"/>
      </w:pPr>
    </w:p>
    <w:p>
      <w:pPr>
        <w:pStyle w:val="Heading3"/>
        <w:keepNext/>
      </w:pPr>
      <w:r>
        <w:t>A11 — 7 Rajab 996 / 2 Jun 1588 — Land Rights Doc. 11; G.D. 8; copy M.M. 1</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Original Persian declaration, seal of Qazi Badruddin Husain; copy also recorded.</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Raghunātha declares earlier purchase of six plots for aggregate Rs.238 and makes hiba to Jīva.</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Six plots near the tank; component boundaries/prices; pond-and-well terminology reported by Habib.</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Mukherjee–Habib, pp.237–239, calendar pp.248–249; Habib, Braj Bhum, p.166.</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the 1588 declaration and stated aggregate purchase price/gift; MODERATE for the true dates of earlier acquisitions.</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Rs.238 is the stated aggregate earlier purchase price; the 1588 transfer is a gift to Jīva.</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mean the two sacred lakes were sold for Rs.238 and does not authenticate every earlier deed date.</w:t>
            </w:r>
          </w:p>
        </w:tc>
      </w:tr>
    </w:tbl>
    <w:p>
      <w:pPr>
        <w:spacing w:after="100" w:line="252" w:lineRule="auto"/>
      </w:pPr>
    </w:p>
    <w:p>
      <w:pPr>
        <w:pStyle w:val="Heading3"/>
        <w:keepNext/>
      </w:pPr>
      <w:r>
        <w:t>A12 — 11 Sep 1598 (grant process 14 Jun–23 Sep 1598) — Akbar farmān; NAI-2671/1; Zimn III(xviii)</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Original farmān supplemented where damaged by an early VRI copy; Rādhā-kuṇḍa entry preserved in the grant schedule.</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Akbar’s administration; temple survey by Abu’l Fazl with named paṇḍits; grant to devala of Rādhā-kuṇḍa.</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Ten Ilāhī bīghas tax-free for the Rādhā-kuṇḍa temple in village Āriṭ, pargana Sahar.</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Habib, Braj Bhum, Chapter 3 Appendix, pp.75–89; Chapter 8 p.166.</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temple/grant; MODERATE for Habib’s inference that the temple was ‘small’ from grant size.</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A Rādhā-kuṇḍa temple existed and received a ten-bīgha grant by 1598.</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identify its architecture, exact footprint, deity form or patron.</w:t>
            </w:r>
          </w:p>
        </w:tc>
      </w:tr>
    </w:tbl>
    <w:p>
      <w:pPr>
        <w:spacing w:after="100" w:line="252" w:lineRule="auto"/>
      </w:pPr>
    </w:p>
    <w:p>
      <w:pPr>
        <w:pStyle w:val="Heading3"/>
        <w:keepNext/>
      </w:pPr>
      <w:r>
        <w:t>A13 — V.S. 1694 / 1637 — Kṛṣṇadāsa bilingual statement; published Plate III</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Hindi declaration with Persian version reported; local article publishes photograph, transcription and translation; precise original/copy status still to be recorded from the archive.</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Declarant Kṛṣṇadāsa son of Bharatācārya → Purohita Chaudhuri Śrī Kiśora Soti; kṛṣṇārpaṇa conveyance.</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Raghunātha’s dwelling and adjacent Jīva dwelling/garden at Śrī Rādhā-kuṇḍa; internal/external areas; separately excludes Kavirāja’s dwelling previously given to Haridāsa.</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Mukherjee–Wright, pp.316–318 and Plate III; Habib, Braj Bhum, pp.166–167.</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identity distinction, succession and conveyance; MODERATE for modern-boundary equation pending direct document study.</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Institutional succession and a settled dwelling/garden complex by 1637; two Kṛṣṇadāsas must be distinguished.</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make Kṛṣṇadāsa Kavirāja the declarant or authenticate a present memorial footprint.</w:t>
            </w:r>
          </w:p>
        </w:tc>
      </w:tr>
    </w:tbl>
    <w:p>
      <w:pPr>
        <w:spacing w:after="100" w:line="252" w:lineRule="auto"/>
      </w:pPr>
    </w:p>
    <w:p>
      <w:pPr>
        <w:pStyle w:val="Heading3"/>
        <w:keepNext/>
      </w:pPr>
      <w:r>
        <w:t>A14 — Date lost; working narrative assigns AH 1050 / 1640–41 — Rādhākuṇḍa 119; unidentified official parwāna</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Document date lost in Habib’s calendar; invocation permits only a Jahangir/Shahjahan reign range. Chapter 8 nevertheless gives AH 1050/1640–41: discrepancy unresolved.</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Unidentified official → village authorities; prohibition on singhāra cultivation.</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Rādhā-kuṇḍa tank near Āriṭ, said to have been dug by a person for spiritual merit.</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Habib, Braj Bhum, pp.167 and 107 (calendar item 45).</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MODERATE for content; LOW for exact 1640–41 date until original is checked.</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An early administrative memory of deliberate pond excavation for merit and regulation of pond use.</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name Raghunātha in the quoted summary and cannot yet carry an exact year.</w:t>
            </w:r>
          </w:p>
        </w:tc>
      </w:tr>
    </w:tbl>
    <w:p>
      <w:pPr>
        <w:spacing w:after="100" w:line="252" w:lineRule="auto"/>
      </w:pPr>
    </w:p>
    <w:p>
      <w:pPr>
        <w:pStyle w:val="Heading3"/>
        <w:keepNext/>
      </w:pPr>
      <w:r>
        <w:t>A15 — AH 1051 / 1641 — R.D. No. 9; headmen’s acknowledgement</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Collection witness; original/copy and language need direct archival recording.</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Āriṭ headmen acknowledge invalid Rs.20 resale to Khamānand after Kṛṣṇadāsa challenges it.</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Land ‘above the Kund and the kuñj,’ previously sold by ancestors to Rūpa, Sanātana and Jīva.</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Habib, Braj Bhum, p.168.</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Habib’s documentary summary; MODERATE pending direct witness.</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Property conflict and remembered earlier Gosvāmī title around the pond/kuñj.</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independently prove initial excavation or exact boundaries.</w:t>
            </w:r>
          </w:p>
        </w:tc>
      </w:tr>
    </w:tbl>
    <w:p>
      <w:pPr>
        <w:spacing w:after="100" w:line="252" w:lineRule="auto"/>
      </w:pPr>
    </w:p>
    <w:p>
      <w:pPr>
        <w:pStyle w:val="Heading3"/>
        <w:keepNext/>
      </w:pPr>
      <w:r>
        <w:t>A16 — AH 1052 / 1642 — M.M. No. 4; bilingual undertaking</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Bilingual Madan Mohan collection witness; direct original/copy status still to verify.</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Headmen Bari Khan, Chand/Chandrasen and Girdhar → Gosāin Kṛṣṇadāsa; undertaking.</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No extension of tillage around the nālā associated with Rādhā-kuṇḍa; no cutting trees there.</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Habib, Braj Bhum, pp.167, 174; documentary history p.233.</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AH 1052/1642 and content; exact day not established.</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A functioning/protected channel and tree zone by 1642; corrects later ‘1842.’</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map the channel or by itself settle whether it fed or drained the pond in every season.</w:t>
            </w:r>
          </w:p>
        </w:tc>
      </w:tr>
    </w:tbl>
    <w:p>
      <w:pPr>
        <w:spacing w:after="100" w:line="252" w:lineRule="auto"/>
      </w:pPr>
    </w:p>
    <w:p>
      <w:pPr>
        <w:pStyle w:val="Heading3"/>
        <w:keepNext/>
      </w:pPr>
      <w:r>
        <w:t>A17 — AH 1055 / 1645–46 — Rādhākuṇḍa 104; official letter to Sukhdev</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Official’s seal names Sayyid Lutfullah and year 1055; language/original status to verify directly.</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Official → Sukhdev, shiqqdār of pargana Sahar, on Kṛṣṇadāsa’s complaint.</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Trees cut and water-channel/path (rāh-i ghāṭ in calendar summary) to the Kund obstructed; oppressive acts to be prevented.</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Habib, Braj Bhum, p.168 and Chapter 4 calendar item 33, p.105.</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content/date range; MODERATE for translating the channel/access term until original checked.</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Administrative protection of trees and access/channel to the tank.</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identify a modern ghāṭ or exact channel alignment.</w:t>
            </w:r>
          </w:p>
        </w:tc>
      </w:tr>
    </w:tbl>
    <w:p>
      <w:pPr>
        <w:spacing w:after="100" w:line="252" w:lineRule="auto"/>
      </w:pPr>
    </w:p>
    <w:p>
      <w:pPr>
        <w:pStyle w:val="Heading3"/>
        <w:keepNext/>
      </w:pPr>
      <w:r>
        <w:t>A18 — 21 Ramaḍān 1055 / 10 Nov 1645 — Rādhākuṇḍa 102; copy</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Copy of headmen’s statement; direct language/original details pending.</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Āriṭ headmen → Sukhdev; pledge.</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No tree cutting above the Kund; no ploughing the nālā carrying water to the Kund.</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Habib, Braj Bhum, p.168; Chapter 4 calendar item 34, p.105.</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exact date and summarized content.</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The channel is explicitly described as carrying water to the Kund and is protected from cultivation.</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prove its sixteenth-century course remained unchanged.</w:t>
            </w:r>
          </w:p>
        </w:tc>
      </w:tr>
    </w:tbl>
    <w:p>
      <w:pPr>
        <w:spacing w:after="100" w:line="252" w:lineRule="auto"/>
      </w:pPr>
    </w:p>
    <w:p>
      <w:pPr>
        <w:pStyle w:val="Heading3"/>
        <w:keepNext/>
      </w:pPr>
      <w:r>
        <w:t>A19 — 20th regnal year of Shahjahan / 1646 — R.D. No. 12; Budh Singh parwāna</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Parwāna; issuer identified by Habib with cautious parenthesis as possibly the jāgīrdār; direct witness status pending.</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Budh Singh → local officials/inhabitants; protective order.</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No cutting trees on money-purchased (zar-kharīd) village lands of Jīva Gosāin.</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Habib, Braj Bhum, p.168.</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broad order; MODERATE for office/precise date.</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Official recognition of Jīva-associated purchased land and tree protection.</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specify which purchase documents were accepted or locate every plot.</w:t>
            </w:r>
          </w:p>
        </w:tc>
      </w:tr>
    </w:tbl>
    <w:p>
      <w:pPr>
        <w:spacing w:after="100" w:line="252" w:lineRule="auto"/>
      </w:pPr>
    </w:p>
    <w:p>
      <w:pPr>
        <w:pStyle w:val="Heading3"/>
        <w:keepNext/>
      </w:pPr>
      <w:r>
        <w:t>A20 — 32nd regnal year Shahjahan / 1658 — IVS No. 217; bilingual statement</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Bilingual document; direct original/copy status pending.</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Murlīdhara clarifies purchase for Sītaldāsa; three Brahman sellers; Rs.24.</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Land with adjoining Gopīnātha kuñj, two other kuñjas and Āriṭ road; Sītaldāsa built a kuñj.</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Habib, Braj Bhum, pp.168–169.</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reported transaction; LOW for area calculation because document dimensions conflict with stated half-bīgha.</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Settlement growth, road, multiple kuñjas and new construction by 1658.</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provide a reliable parcel area or direct tank-engineering evidence.</w:t>
            </w:r>
          </w:p>
        </w:tc>
      </w:tr>
    </w:tbl>
    <w:p>
      <w:pPr>
        <w:spacing w:after="100" w:line="252" w:lineRule="auto"/>
      </w:pPr>
    </w:p>
    <w:p>
      <w:pPr>
        <w:pStyle w:val="Heading3"/>
        <w:keepNext/>
      </w:pPr>
      <w:r>
        <w:t>A21 — 1667 — IVS 190; bilingual sale deed</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Bilingual transaction document.</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Four villagers → Gosāins Maṇikaṇṭha and Kamala Naina; later note records further sale.</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300 square dīrās/15 biswās; buyers identified as priests of devala Rādhā-Kṛṣṇa.</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Habib, Braj Bhum, p.172.</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temple/transaction in Habib’s reading.</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A Rādhā-Kṛṣṇa temple and land market existed by 1667.</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establish the temple’s exact location or continuity with a modern temple.</w:t>
            </w:r>
          </w:p>
        </w:tc>
      </w:tr>
    </w:tbl>
    <w:p>
      <w:pPr>
        <w:spacing w:after="100" w:line="252" w:lineRule="auto"/>
      </w:pPr>
    </w:p>
    <w:p>
      <w:pPr>
        <w:pStyle w:val="Heading3"/>
        <w:keepNext/>
      </w:pPr>
      <w:r>
        <w:t>A22 — AH 1080 / 1669 — R.D. No. 57; headmen’s pledge</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Pledge before qāẓī/jāgīrdār context; direct witness status pending.</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Āriṭ headmen → authority, at Braj Kunwar’s initiative.</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No tillage along nālā feeding Rādhā-kuṇḍa; no tree cutting above pond; near Braj Kunwar’s kuñj.</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Habib, Braj Bhum, p.170; documentary history p.201.</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content/date.</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Continued channel/tree protection and a nearby named kuñj in 1669.</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prove that the channel’s course was identical to 1642/1645 or to a modern drain.</w:t>
            </w:r>
          </w:p>
        </w:tc>
      </w:tr>
    </w:tbl>
    <w:p>
      <w:pPr>
        <w:spacing w:after="100" w:line="252" w:lineRule="auto"/>
      </w:pPr>
    </w:p>
    <w:p>
      <w:pPr>
        <w:pStyle w:val="Heading3"/>
        <w:keepNext/>
      </w:pPr>
      <w:r>
        <w:t>A23 — 1676 — R.D. No. 95; Mubariz Khan parwāna</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Official parwāna; village called Rādhākuṇḍa alone in this record.</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Braj Kunwar and Parmanand complain; Sayyid Mubariz Khan orders non-interference.</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Their land and gardens at Rādhā-kuṇḍa.</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Habib, Braj Bhum, pp.170, 176.</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broad content and naming evidence.</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Protected gardens/land and advanced settlement-name transition by 1676.</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map the gardens or prove complete abandonment of the name Āriṭ.</w:t>
            </w:r>
          </w:p>
        </w:tc>
      </w:tr>
    </w:tbl>
    <w:p>
      <w:pPr>
        <w:spacing w:after="100" w:line="252" w:lineRule="auto"/>
      </w:pPr>
    </w:p>
    <w:p>
      <w:pPr>
        <w:pStyle w:val="Heading3"/>
        <w:keepNext/>
      </w:pPr>
      <w:r>
        <w:t>A24 — AH 1121 / 1710 — Govind-dev Collection hibanāma</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Gift deed in Govind-dev collection; direct original/copy status pending.</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Gobind Charan → designated successor Jagannātha; hiba of possessions.</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Both ponds Rādhā-kuṇḍa and Kṛṣṇa-kuṇḍa; named kuñjas and adjacent wasteland.</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Habib, Braj Bhum, p.170.</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transferred asset list; MODERATE for underlying title claim.</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By 1710 both ponds and multiple kuñjas were asserted as transferable institutional assets.</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prove the asserted line possessed uncontested title or created the ponds.</w:t>
            </w:r>
          </w:p>
        </w:tc>
      </w:tr>
    </w:tbl>
    <w:p>
      <w:pPr>
        <w:spacing w:after="100" w:line="252" w:lineRule="auto"/>
      </w:pPr>
    </w:p>
    <w:p>
      <w:pPr>
        <w:pStyle w:val="Heading3"/>
        <w:keepNext/>
      </w:pPr>
      <w:r>
        <w:t>A25 — V.S. 1770 / Mar 1713 — Wright No. 17; Braj headmen’s declaration</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Braj document; one of two later headmen declarations central to Habib’s reconstruction.</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Āriṭ zamīndārs/muqaddams declare allegiance to Jagannātha, Govind-dev custodian.</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States Raghunātha cleared jungle, bought land from ancestors and, inspired by Rādhā, discovered/created Rādhā-kuṇḍa and Kṛṣṇa-kuṇḍa; regulates access and assemblies.</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Habib, Braj Bhum, pp.161, 170–171.</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a 1713 claim; MODERATE–LOW as direct evidence of sixteenth-century events.</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An early-eighteenth-century institutional memory explicitly attributes clearing/acquisition and the two ponds to Raghunātha.</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Is not a contemporary sixteenth-century excavation record and serves a 1713 authority claim.</w:t>
            </w:r>
          </w:p>
        </w:tc>
      </w:tr>
    </w:tbl>
    <w:p>
      <w:pPr>
        <w:spacing w:after="100" w:line="252" w:lineRule="auto"/>
      </w:pPr>
    </w:p>
    <w:p>
      <w:pPr>
        <w:pStyle w:val="Heading3"/>
        <w:keepNext/>
      </w:pPr>
      <w:r>
        <w:t>A26 — V.S. 1773 / 1716 — NAI-2671/21; bilingual declaration</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Braj declaration with Persian version.</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Āriṭ headmen reaffirm Jagannātha’s authority and exclusions.</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Repeats the Raghunātha/pond origin tradition and control of access to Rādhā-kuṇḍa.</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Habib, Braj Bhum, pp.161, 170–171, 176.</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1716 institutional claim; MODERATE–LOW for sixteenth-century reconstruction.</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Independent bilingual repetition of the 1713 memory/authority narrative.</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convert the retrospective narrative into a contemporary excavation report.</w:t>
            </w:r>
          </w:p>
        </w:tc>
      </w:tr>
    </w:tbl>
    <w:p>
      <w:pPr>
        <w:spacing w:after="100" w:line="252" w:lineRule="auto"/>
      </w:pPr>
    </w:p>
    <w:p>
      <w:pPr>
        <w:pStyle w:val="Heading3"/>
        <w:keepNext/>
      </w:pPr>
      <w:r>
        <w:t>A27 — 1720 — R.D. 27, 47, 213, 40; M.M. unnumbered parwānas</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Series of official parwānas issued in Muhammad Shah’s second regnal year.</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Gopī Raman complains against Nāthu Ram; officials uphold restraint.</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Claim that an ancestor purchased land at Āriṭ/Rādhā-kuṇḍa and established a pond and gardens; disputed kuñj/compound construction.</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Habib, Braj Bhum, pp.171–172.</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existence of claims/orders; MODERATE–LOW for literal ancestral construction attribution.</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Active early-eighteenth-century title dispute and institutional memory of pond/garden establishment.</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name the ancestor in the quoted summary or settle the original construction phase.</w:t>
            </w:r>
          </w:p>
        </w:tc>
      </w:tr>
    </w:tbl>
    <w:p>
      <w:pPr>
        <w:spacing w:after="100" w:line="252" w:lineRule="auto"/>
      </w:pPr>
    </w:p>
    <w:p>
      <w:pPr>
        <w:pStyle w:val="Heading3"/>
        <w:keepNext/>
      </w:pPr>
      <w:r>
        <w:t>A28 — 1722 — M.M. No. 82; gift in puṇyārtha</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Madan Mohan collection deed; language/status pending direct recording.</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Eight zamīndārs of four families → Gosāin Subal Dāsa, Madan Mohan custodian.</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Four bīghas bordered by dressed plots and two kuñjas.</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Habib, Braj Bhum, pp.173–176.</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reported deed.</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Dense mixed agricultural/kuñj landscape and local family participation by 1722.</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bear directly on the initial pond excavation.</w:t>
            </w:r>
          </w:p>
        </w:tc>
      </w:tr>
    </w:tbl>
    <w:p>
      <w:pPr>
        <w:spacing w:after="100" w:line="252" w:lineRule="auto"/>
      </w:pPr>
    </w:p>
    <w:p>
      <w:pPr>
        <w:pStyle w:val="Heading3"/>
        <w:keepNext/>
      </w:pPr>
      <w:r>
        <w:t>A29 — After 1725 — CU; Braj Lal statement for public endorsement</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WITNESS</w:t>
            </w:r>
          </w:p>
        </w:tc>
        <w:tc>
          <w:tcPr>
            <w:tcW w:type="dxa" w:w="7660"/>
            <w:tcMar>
              <w:top w:w="80" w:type="dxa"/>
              <w:bottom w:w="80" w:type="dxa"/>
              <w:start w:w="120" w:type="dxa"/>
              <w:end w:w="120" w:type="dxa"/>
            </w:tcMar>
            <w:vAlign w:val="center"/>
          </w:tcPr>
          <w:p>
            <w:pPr>
              <w:pStyle w:val="TableText"/>
              <w:keepNext/>
              <w:spacing w:after="0"/>
            </w:pPr>
            <w:r>
              <w:t>Undated Persian statement, assigned post-1725 by succession context; collection abbreviation CU.</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PARTIES / ACT</w:t>
            </w:r>
          </w:p>
        </w:tc>
        <w:tc>
          <w:tcPr>
            <w:tcW w:type="dxa" w:w="7660"/>
            <w:tcMar>
              <w:top w:w="80" w:type="dxa"/>
              <w:bottom w:w="80" w:type="dxa"/>
              <w:start w:w="120" w:type="dxa"/>
              <w:end w:w="120" w:type="dxa"/>
            </w:tcMar>
            <w:vAlign w:val="center"/>
          </w:tcPr>
          <w:p>
            <w:pPr>
              <w:pStyle w:val="TableText"/>
              <w:keepNext/>
              <w:spacing w:after="0"/>
            </w:pPr>
            <w:r>
              <w:t>Braj Lal complains of three Brahmans seizing/selling land; seeks civic endorsement and appeal to Savai Jai Singh.</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OBJECT / PLACE</w:t>
            </w:r>
          </w:p>
        </w:tc>
        <w:tc>
          <w:tcPr>
            <w:tcW w:type="dxa" w:w="7660"/>
            <w:tcMar>
              <w:top w:w="80" w:type="dxa"/>
              <w:bottom w:w="80" w:type="dxa"/>
              <w:start w:w="120" w:type="dxa"/>
              <w:end w:w="120" w:type="dxa"/>
            </w:tcMar>
            <w:vAlign w:val="center"/>
          </w:tcPr>
          <w:p>
            <w:pPr>
              <w:pStyle w:val="TableText"/>
              <w:keepNext/>
              <w:spacing w:after="0"/>
            </w:pPr>
            <w:r>
              <w:t>Land southwest of Rādhā-kuṇḍa containing mounds of earth dug out when the kuṇḍa was excavated.</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LOCAL SOURCE</w:t>
            </w:r>
          </w:p>
        </w:tc>
        <w:tc>
          <w:tcPr>
            <w:tcW w:type="dxa" w:w="7660"/>
            <w:tcMar>
              <w:top w:w="80" w:type="dxa"/>
              <w:bottom w:w="80" w:type="dxa"/>
              <w:start w:w="120" w:type="dxa"/>
              <w:end w:w="120" w:type="dxa"/>
            </w:tcMar>
            <w:vAlign w:val="center"/>
          </w:tcPr>
          <w:p>
            <w:pPr>
              <w:pStyle w:val="TableText"/>
              <w:keepNext/>
              <w:spacing w:after="0"/>
            </w:pPr>
            <w:r>
              <w:t>Habib, Braj Bhum, p.172.</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CONFIDENCE</w:t>
            </w:r>
          </w:p>
        </w:tc>
        <w:tc>
          <w:tcPr>
            <w:tcW w:type="dxa" w:w="7660"/>
            <w:tcMar>
              <w:top w:w="80" w:type="dxa"/>
              <w:bottom w:w="80" w:type="dxa"/>
              <w:start w:w="120" w:type="dxa"/>
              <w:end w:w="120" w:type="dxa"/>
            </w:tcMar>
            <w:vAlign w:val="center"/>
          </w:tcPr>
          <w:p>
            <w:pPr>
              <w:pStyle w:val="TableText"/>
              <w:keepNext/>
              <w:spacing w:after="0"/>
            </w:pPr>
            <w:r>
              <w:t>HIGH for a post-1725 documentary claim and mound location; MODERATE for attributing mounds to the original Raghunātha phase.</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PROVES</w:t>
            </w:r>
          </w:p>
        </w:tc>
        <w:tc>
          <w:tcPr>
            <w:tcW w:type="dxa" w:w="7660"/>
            <w:tcMar>
              <w:top w:w="80" w:type="dxa"/>
              <w:bottom w:w="80" w:type="dxa"/>
              <w:start w:w="120" w:type="dxa"/>
              <w:end w:w="120" w:type="dxa"/>
            </w:tcMar>
            <w:vAlign w:val="center"/>
          </w:tcPr>
          <w:p>
            <w:pPr>
              <w:pStyle w:val="TableText"/>
              <w:keepNext/>
              <w:spacing w:after="0"/>
            </w:pPr>
            <w:r>
              <w:t>Excavation-spoil mounds were remembered/identified southwest of the pond by the early eighteenth century.</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DOES NOT PROVE</w:t>
            </w:r>
          </w:p>
        </w:tc>
        <w:tc>
          <w:tcPr>
            <w:tcW w:type="dxa" w:w="7660"/>
            <w:tcMar>
              <w:top w:w="80" w:type="dxa"/>
              <w:bottom w:w="80" w:type="dxa"/>
              <w:start w:w="120" w:type="dxa"/>
              <w:end w:w="120" w:type="dxa"/>
            </w:tcMar>
            <w:vAlign w:val="center"/>
          </w:tcPr>
          <w:p>
            <w:pPr>
              <w:pStyle w:val="TableText"/>
              <w:keepNext w:val="0"/>
              <w:spacing w:after="0"/>
            </w:pPr>
            <w:r>
              <w:t>Does not securely date the excavation episode or identify a single campaign.</w:t>
            </w:r>
          </w:p>
        </w:tc>
      </w:tr>
    </w:tbl>
    <w:p>
      <w:pPr>
        <w:spacing w:after="100" w:line="252" w:lineRule="auto"/>
      </w:pPr>
    </w:p>
    <w:p>
      <w:pPr>
        <w:spacing w:after="100" w:line="252" w:lineRule="auto"/>
      </w:pPr>
      <w:r>
        <w:br w:type="page"/>
      </w:r>
    </w:p>
    <w:p>
      <w:pPr>
        <w:pStyle w:val="Heading1"/>
        <w:keepNext/>
      </w:pPr>
      <w:r>
        <w:t>5. Audit of Habib’s excavation reconstruction</w:t>
      </w:r>
    </w:p>
    <w:p>
      <w:pPr>
        <w:spacing w:after="100" w:line="252" w:lineRule="auto"/>
      </w:pPr>
      <w:r>
        <w:rPr>
          <w:rFonts w:ascii="Calibri" w:hAnsi="Calibri"/>
          <w:b/>
          <w:color w:val="1F4D78"/>
        </w:rPr>
        <w:t xml:space="preserve">CONTROLLING RULING: </w:t>
      </w:r>
      <w:r>
        <w:t>Habib’s statement that Raghunātha ‘dug the two ponds’ is a documentary reconstruction, not a verbatim clause from the secure 1588 hiba. It is supported by a cumulative chain whose components have unequal dates and authority.</w:t>
      </w:r>
    </w:p>
    <w:tbl>
      <w:tblPr>
        <w:tblStyle w:val="TableGrid"/>
        <w:tblW w:type="dxa" w:w="9360"/>
        <w:tblLayout w:type="fixed"/>
        <w:tblLook w:firstColumn="1" w:firstRow="1" w:lastColumn="0" w:lastRow="0" w:noHBand="0" w:noVBand="1" w:val="04A0"/>
        <w:tblInd w:w="120" w:type="dxa"/>
      </w:tblPr>
      <w:tblGrid>
        <w:gridCol w:w="1800"/>
        <w:gridCol w:w="5660"/>
        <w:gridCol w:w="1900"/>
      </w:tblGrid>
      <w:tr>
        <w:trPr>
          <w:cantSplit/>
          <w:tblHeader w:val="true"/>
          <w:cantSplit/>
        </w:trPr>
        <w:tc>
          <w:tcPr>
            <w:tcW w:type="dxa" w:w="1800"/>
            <w:tcMar>
              <w:top w:w="80" w:type="dxa"/>
              <w:bottom w:w="80" w:type="dxa"/>
              <w:start w:w="120" w:type="dxa"/>
              <w:end w:w="120" w:type="dxa"/>
            </w:tcMar>
            <w:vAlign w:val="center"/>
            <w:shd w:fill="E8EEF5"/>
          </w:tcPr>
          <w:p>
            <w:pPr>
              <w:pStyle w:val="TableText"/>
            </w:pPr>
            <w:r>
              <w:rPr>
                <w:rFonts w:ascii="Calibri" w:hAnsi="Calibri"/>
                <w:b/>
                <w:color w:val="1F4D78"/>
                <w:sz w:val="17"/>
              </w:rPr>
              <w:t>Claim component</w:t>
            </w:r>
          </w:p>
        </w:tc>
        <w:tc>
          <w:tcPr>
            <w:tcW w:type="dxa" w:w="5660"/>
            <w:tcMar>
              <w:top w:w="80" w:type="dxa"/>
              <w:bottom w:w="80" w:type="dxa"/>
              <w:start w:w="120" w:type="dxa"/>
              <w:end w:w="120" w:type="dxa"/>
            </w:tcMar>
            <w:vAlign w:val="center"/>
            <w:shd w:fill="E8EEF5"/>
          </w:tcPr>
          <w:p>
            <w:pPr>
              <w:pStyle w:val="TableText"/>
            </w:pPr>
            <w:r>
              <w:rPr>
                <w:rFonts w:ascii="Calibri" w:hAnsi="Calibri"/>
                <w:b/>
                <w:color w:val="1F4D78"/>
                <w:sz w:val="17"/>
              </w:rPr>
              <w:t>Immediate documentary support and dependency</w:t>
            </w:r>
          </w:p>
        </w:tc>
        <w:tc>
          <w:tcPr>
            <w:tcW w:type="dxa" w:w="1900"/>
            <w:tcMar>
              <w:top w:w="80" w:type="dxa"/>
              <w:bottom w:w="80" w:type="dxa"/>
              <w:start w:w="120" w:type="dxa"/>
              <w:end w:w="120" w:type="dxa"/>
            </w:tcMar>
            <w:vAlign w:val="center"/>
            <w:shd w:fill="E8EEF5"/>
          </w:tcPr>
          <w:p>
            <w:pPr>
              <w:pStyle w:val="TableText"/>
            </w:pPr>
            <w:r>
              <w:rPr>
                <w:rFonts w:ascii="Calibri" w:hAnsi="Calibri"/>
                <w:b/>
                <w:color w:val="1F4D78"/>
                <w:sz w:val="17"/>
              </w:rPr>
              <w:t>Block 1 ruling</w:t>
            </w:r>
          </w:p>
        </w:tc>
      </w:tr>
      <w:tr>
        <w:trPr>
          <w:cantSplit/>
        </w:trPr>
        <w:tc>
          <w:tcPr>
            <w:tcW w:type="dxa" w:w="1800"/>
            <w:tcMar>
              <w:top w:w="80" w:type="dxa"/>
              <w:bottom w:w="80" w:type="dxa"/>
              <w:start w:w="120" w:type="dxa"/>
              <w:end w:w="120" w:type="dxa"/>
            </w:tcMar>
            <w:vAlign w:val="center"/>
          </w:tcPr>
          <w:p>
            <w:pPr>
              <w:pStyle w:val="TableText"/>
              <w:spacing w:after="0"/>
            </w:pPr>
            <w:r>
              <w:t>Six plots and Rs.238</w:t>
            </w:r>
          </w:p>
        </w:tc>
        <w:tc>
          <w:tcPr>
            <w:tcW w:type="dxa" w:w="5660"/>
            <w:tcMar>
              <w:top w:w="80" w:type="dxa"/>
              <w:bottom w:w="80" w:type="dxa"/>
              <w:start w:w="120" w:type="dxa"/>
              <w:end w:w="120" w:type="dxa"/>
            </w:tcMar>
            <w:vAlign w:val="center"/>
          </w:tcPr>
          <w:p>
            <w:pPr>
              <w:pStyle w:val="TableText"/>
              <w:spacing w:after="0"/>
            </w:pPr>
            <w:r>
              <w:t>A10 (1579 original collective declaration) and A11 (1588 original hiba) securely establish the six-plot title complex. A11 states that Raghunātha had purchased the plots for aggregate Rs.238 and then gifted them to Jīva. Earlier component dates are not secure.</w:t>
            </w:r>
          </w:p>
        </w:tc>
        <w:tc>
          <w:tcPr>
            <w:tcW w:type="dxa" w:w="1900"/>
            <w:tcMar>
              <w:top w:w="80" w:type="dxa"/>
              <w:bottom w:w="80" w:type="dxa"/>
              <w:start w:w="120" w:type="dxa"/>
              <w:end w:w="120" w:type="dxa"/>
            </w:tcMar>
            <w:vAlign w:val="center"/>
          </w:tcPr>
          <w:p>
            <w:pPr>
              <w:pStyle w:val="TableText"/>
              <w:spacing w:after="0"/>
            </w:pPr>
            <w:r>
              <w:t>HIGH for 1579/1588 records; MODERATE for earlier acquisition chronology.</w:t>
            </w:r>
          </w:p>
        </w:tc>
      </w:tr>
      <w:tr>
        <w:trPr>
          <w:cantSplit/>
        </w:trPr>
        <w:tc>
          <w:tcPr>
            <w:tcW w:type="dxa" w:w="1800"/>
            <w:tcMar>
              <w:top w:w="80" w:type="dxa"/>
              <w:bottom w:w="80" w:type="dxa"/>
              <w:start w:w="120" w:type="dxa"/>
              <w:end w:w="120" w:type="dxa"/>
            </w:tcMar>
            <w:vAlign w:val="center"/>
          </w:tcPr>
          <w:p>
            <w:pPr>
              <w:pStyle w:val="TableText"/>
              <w:spacing w:after="0"/>
            </w:pPr>
            <w:r>
              <w:t>Two ponds / Raghunātha excavation</w:t>
            </w:r>
          </w:p>
        </w:tc>
        <w:tc>
          <w:tcPr>
            <w:tcW w:type="dxa" w:w="5660"/>
            <w:tcMar>
              <w:top w:w="80" w:type="dxa"/>
              <w:bottom w:w="80" w:type="dxa"/>
              <w:start w:w="120" w:type="dxa"/>
              <w:end w:w="120" w:type="dxa"/>
            </w:tcMar>
            <w:vAlign w:val="center"/>
          </w:tcPr>
          <w:p>
            <w:pPr>
              <w:pStyle w:val="TableText"/>
              <w:spacing w:after="0"/>
            </w:pPr>
            <w:r>
              <w:t>A01–A11 locate plots around the tanks and record Raghunātha/Jīva title claims; A14 says the tank was dug by a person for merit but does not name him in Habib’s quoted summary; A25–A26 later attribute clearing, acquisition and discovery/creation of the two ponds to Raghunātha. Habib synthesizes these into ‘He dug the two ponds.’</w:t>
            </w:r>
          </w:p>
        </w:tc>
        <w:tc>
          <w:tcPr>
            <w:tcW w:type="dxa" w:w="1900"/>
            <w:tcMar>
              <w:top w:w="80" w:type="dxa"/>
              <w:bottom w:w="80" w:type="dxa"/>
              <w:start w:w="120" w:type="dxa"/>
              <w:end w:w="120" w:type="dxa"/>
            </w:tcMar>
            <w:vAlign w:val="center"/>
          </w:tcPr>
          <w:p>
            <w:pPr>
              <w:pStyle w:val="TableText"/>
              <w:spacing w:after="0"/>
            </w:pPr>
            <w:r>
              <w:t>MODERATE as historical reconstruction; not a single contemporaneous verbatim proof.</w:t>
            </w:r>
          </w:p>
        </w:tc>
      </w:tr>
      <w:tr>
        <w:trPr>
          <w:cantSplit/>
        </w:trPr>
        <w:tc>
          <w:tcPr>
            <w:tcW w:type="dxa" w:w="1800"/>
            <w:tcMar>
              <w:top w:w="80" w:type="dxa"/>
              <w:bottom w:w="80" w:type="dxa"/>
              <w:start w:w="120" w:type="dxa"/>
              <w:end w:w="120" w:type="dxa"/>
            </w:tcMar>
            <w:vAlign w:val="center"/>
          </w:tcPr>
          <w:p>
            <w:pPr>
              <w:pStyle w:val="TableText"/>
              <w:spacing w:after="0"/>
            </w:pPr>
            <w:r>
              <w:t>Pond-well</w:t>
            </w:r>
          </w:p>
        </w:tc>
        <w:tc>
          <w:tcPr>
            <w:tcW w:type="dxa" w:w="5660"/>
            <w:tcMar>
              <w:top w:w="80" w:type="dxa"/>
              <w:bottom w:w="80" w:type="dxa"/>
              <w:start w:w="120" w:type="dxa"/>
              <w:end w:w="120" w:type="dxa"/>
            </w:tcMar>
            <w:vAlign w:val="center"/>
          </w:tcPr>
          <w:p>
            <w:pPr>
              <w:pStyle w:val="TableText"/>
              <w:spacing w:after="0"/>
            </w:pPr>
            <w:r>
              <w:t>A07 explicitly has chāh-i talab, ‘well of the tank’; A11 includes the well within the transferred plot complex, and Habib reports kolāb-o-chāh (‘pond and well’) in the hiba.</w:t>
            </w:r>
          </w:p>
        </w:tc>
        <w:tc>
          <w:tcPr>
            <w:tcW w:type="dxa" w:w="1900"/>
            <w:tcMar>
              <w:top w:w="80" w:type="dxa"/>
              <w:bottom w:w="80" w:type="dxa"/>
              <w:start w:w="120" w:type="dxa"/>
              <w:end w:w="120" w:type="dxa"/>
            </w:tcMar>
            <w:vAlign w:val="center"/>
          </w:tcPr>
          <w:p>
            <w:pPr>
              <w:pStyle w:val="TableText"/>
              <w:spacing w:after="0"/>
            </w:pPr>
            <w:r>
              <w:t>HIGH for pond–well association; MODERATE for ‘Raghunātha dug the well.’</w:t>
            </w:r>
          </w:p>
        </w:tc>
      </w:tr>
      <w:tr>
        <w:trPr>
          <w:cantSplit/>
        </w:trPr>
        <w:tc>
          <w:tcPr>
            <w:tcW w:type="dxa" w:w="1800"/>
            <w:tcMar>
              <w:top w:w="80" w:type="dxa"/>
              <w:bottom w:w="80" w:type="dxa"/>
              <w:start w:w="120" w:type="dxa"/>
              <w:end w:w="120" w:type="dxa"/>
            </w:tcMar>
            <w:vAlign w:val="center"/>
          </w:tcPr>
          <w:p>
            <w:pPr>
              <w:pStyle w:val="TableText"/>
              <w:spacing w:after="0"/>
            </w:pPr>
            <w:r>
              <w:t>Nālā</w:t>
            </w:r>
          </w:p>
        </w:tc>
        <w:tc>
          <w:tcPr>
            <w:tcW w:type="dxa" w:w="5660"/>
            <w:tcMar>
              <w:top w:w="80" w:type="dxa"/>
              <w:bottom w:w="80" w:type="dxa"/>
              <w:start w:w="120" w:type="dxa"/>
              <w:end w:w="120" w:type="dxa"/>
            </w:tcMar>
            <w:vAlign w:val="center"/>
          </w:tcPr>
          <w:p>
            <w:pPr>
              <w:pStyle w:val="TableText"/>
              <w:spacing w:after="0"/>
            </w:pPr>
            <w:r>
              <w:t>A09–A11 include the nullah/nālā in plot boundaries. A16, A18 and A22 show the channel’s protected water function in 1642, 1645 and 1669, variously summarized as feeding, carrying water to, or draining into Rādhā-kuṇḍa.</w:t>
            </w:r>
          </w:p>
        </w:tc>
        <w:tc>
          <w:tcPr>
            <w:tcW w:type="dxa" w:w="1900"/>
            <w:tcMar>
              <w:top w:w="80" w:type="dxa"/>
              <w:bottom w:w="80" w:type="dxa"/>
              <w:start w:w="120" w:type="dxa"/>
              <w:end w:w="120" w:type="dxa"/>
            </w:tcMar>
            <w:vAlign w:val="center"/>
          </w:tcPr>
          <w:p>
            <w:pPr>
              <w:pStyle w:val="TableText"/>
              <w:spacing w:after="0"/>
            </w:pPr>
            <w:r>
              <w:t>HIGH for presence and seventeenth-century water function; OPEN for exact course, directionality and whether it predated every acquisition.</w:t>
            </w:r>
          </w:p>
        </w:tc>
      </w:tr>
      <w:tr>
        <w:trPr>
          <w:cantSplit/>
        </w:trPr>
        <w:tc>
          <w:tcPr>
            <w:tcW w:type="dxa" w:w="1800"/>
            <w:tcMar>
              <w:top w:w="80" w:type="dxa"/>
              <w:bottom w:w="80" w:type="dxa"/>
              <w:start w:w="120" w:type="dxa"/>
              <w:end w:w="120" w:type="dxa"/>
            </w:tcMar>
            <w:vAlign w:val="center"/>
          </w:tcPr>
          <w:p>
            <w:pPr>
              <w:pStyle w:val="TableText"/>
              <w:spacing w:after="0"/>
            </w:pPr>
            <w:r>
              <w:t>Excavation-spoil mounds</w:t>
            </w:r>
          </w:p>
        </w:tc>
        <w:tc>
          <w:tcPr>
            <w:tcW w:type="dxa" w:w="5660"/>
            <w:tcMar>
              <w:top w:w="80" w:type="dxa"/>
              <w:bottom w:w="80" w:type="dxa"/>
              <w:start w:w="120" w:type="dxa"/>
              <w:end w:w="120" w:type="dxa"/>
            </w:tcMar>
            <w:vAlign w:val="center"/>
          </w:tcPr>
          <w:p>
            <w:pPr>
              <w:pStyle w:val="TableText"/>
              <w:spacing w:after="0"/>
            </w:pPr>
            <w:r>
              <w:t>A01/A04 form part of the retrospective deed tradition associated by Mukherjee–Wright with soil-dumping land; A29 directly records a post-1725 claim that land southwest of the pond contained earth mounds dug out when the kuṇḍa was excavated.</w:t>
            </w:r>
          </w:p>
        </w:tc>
        <w:tc>
          <w:tcPr>
            <w:tcW w:type="dxa" w:w="1900"/>
            <w:tcMar>
              <w:top w:w="80" w:type="dxa"/>
              <w:bottom w:w="80" w:type="dxa"/>
              <w:start w:w="120" w:type="dxa"/>
              <w:end w:w="120" w:type="dxa"/>
            </w:tcMar>
            <w:vAlign w:val="center"/>
          </w:tcPr>
          <w:p>
            <w:pPr>
              <w:pStyle w:val="TableText"/>
              <w:spacing w:after="0"/>
            </w:pPr>
            <w:r>
              <w:t>HIGH for an early-eighteenth-century mound claim; MODERATE–LOW for exact sixteenth-century phase/date.</w:t>
            </w:r>
          </w:p>
        </w:tc>
      </w:tr>
      <w:tr>
        <w:trPr>
          <w:cantSplit/>
        </w:trPr>
        <w:tc>
          <w:tcPr>
            <w:tcW w:type="dxa" w:w="1800"/>
            <w:tcMar>
              <w:top w:w="80" w:type="dxa"/>
              <w:bottom w:w="80" w:type="dxa"/>
              <w:start w:w="120" w:type="dxa"/>
              <w:end w:w="120" w:type="dxa"/>
            </w:tcMar>
            <w:vAlign w:val="center"/>
          </w:tcPr>
          <w:p>
            <w:pPr>
              <w:pStyle w:val="TableText"/>
              <w:spacing w:after="0"/>
            </w:pPr>
            <w:r>
              <w:t>1598 temple</w:t>
            </w:r>
          </w:p>
        </w:tc>
        <w:tc>
          <w:tcPr>
            <w:tcW w:type="dxa" w:w="5660"/>
            <w:tcMar>
              <w:top w:w="80" w:type="dxa"/>
              <w:bottom w:w="80" w:type="dxa"/>
              <w:start w:w="120" w:type="dxa"/>
              <w:end w:w="120" w:type="dxa"/>
            </w:tcMar>
            <w:vAlign w:val="center"/>
          </w:tcPr>
          <w:p>
            <w:pPr>
              <w:pStyle w:val="TableText"/>
              <w:spacing w:after="0"/>
            </w:pPr>
            <w:r>
              <w:t>A12 is an imperial grant schedule naming the Rādhā-kuṇḍa temple and ten Ilāhī bīghas.</w:t>
            </w:r>
          </w:p>
        </w:tc>
        <w:tc>
          <w:tcPr>
            <w:tcW w:type="dxa" w:w="1900"/>
            <w:tcMar>
              <w:top w:w="80" w:type="dxa"/>
              <w:bottom w:w="80" w:type="dxa"/>
              <w:start w:w="120" w:type="dxa"/>
              <w:end w:w="120" w:type="dxa"/>
            </w:tcMar>
            <w:vAlign w:val="center"/>
          </w:tcPr>
          <w:p>
            <w:pPr>
              <w:pStyle w:val="TableText"/>
              <w:spacing w:after="0"/>
            </w:pPr>
            <w:r>
              <w:t>HIGH for temple/grant; ‘small’ is Habib’s comparative inference.</w:t>
            </w:r>
          </w:p>
        </w:tc>
      </w:tr>
    </w:tbl>
    <w:p>
      <w:pPr>
        <w:pStyle w:val="Heading1"/>
        <w:keepNext/>
      </w:pPr>
      <w:r>
        <w:t>6. B–D convergence: substantial restoration/excavation</w:t>
      </w:r>
    </w:p>
    <w:tbl>
      <w:tblPr>
        <w:tblStyle w:val="TableGrid"/>
        <w:tblW w:type="dxa" w:w="9360"/>
        <w:tblLayout w:type="fixed"/>
        <w:tblLook w:firstColumn="1" w:firstRow="1" w:lastColumn="0" w:lastRow="0" w:noHBand="0" w:noVBand="1" w:val="04A0"/>
        <w:tblInd w:w="120" w:type="dxa"/>
      </w:tblPr>
      <w:tblGrid>
        <w:gridCol w:w="1700"/>
        <w:gridCol w:w="7660"/>
      </w:tblGrid>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B-LAYER</w:t>
            </w:r>
          </w:p>
        </w:tc>
        <w:tc>
          <w:tcPr>
            <w:tcW w:type="dxa" w:w="7660"/>
            <w:tcMar>
              <w:top w:w="80" w:type="dxa"/>
              <w:bottom w:w="80" w:type="dxa"/>
              <w:start w:w="120" w:type="dxa"/>
              <w:end w:w="120" w:type="dxa"/>
            </w:tcMar>
            <w:vAlign w:val="center"/>
          </w:tcPr>
          <w:p>
            <w:pPr>
              <w:pStyle w:val="TableText"/>
              <w:keepNext/>
              <w:spacing w:after="0"/>
            </w:pPr>
            <w:r>
              <w:t>Bhakti-ratnākara 5.545–547: Raghunātha orders paṅkoddhāra; many workers are engaged; the two kuṇḍas are khodāila, caused to be carefully dug/excavated.</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D-LAYER</w:t>
            </w:r>
          </w:p>
        </w:tc>
        <w:tc>
          <w:tcPr>
            <w:tcW w:type="dxa" w:w="7660"/>
            <w:tcMar>
              <w:top w:w="80" w:type="dxa"/>
              <w:bottom w:w="80" w:type="dxa"/>
              <w:start w:w="120" w:type="dxa"/>
              <w:end w:w="120" w:type="dxa"/>
            </w:tcMar>
            <w:vAlign w:val="center"/>
          </w:tcPr>
          <w:p>
            <w:pPr>
              <w:pStyle w:val="TableText"/>
              <w:keepNext/>
              <w:spacing w:after="0"/>
            </w:pPr>
            <w:r>
              <w:t>The documentary complex securely places Raghunātha’s six-plot title and 1588 hiba around the tanks; Habib reconstructs a pond/well/nālā/spoil landscape and attributes the two-pond excavation to Raghunātha.</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CONVERGENCE</w:t>
            </w:r>
          </w:p>
        </w:tc>
        <w:tc>
          <w:tcPr>
            <w:tcW w:type="dxa" w:w="7660"/>
            <w:tcMar>
              <w:top w:w="80" w:type="dxa"/>
              <w:bottom w:w="80" w:type="dxa"/>
              <w:start w:w="120" w:type="dxa"/>
              <w:end w:w="120" w:type="dxa"/>
            </w:tcMar>
            <w:vAlign w:val="center"/>
          </w:tcPr>
          <w:p>
            <w:pPr>
              <w:pStyle w:val="TableText"/>
              <w:keepNext/>
              <w:spacing w:after="0"/>
            </w:pPr>
            <w:r>
              <w:t>The independent layers are mutually suggestive of a substantial Raghunātha-era physical excavation/restoration phase rather than mere ritual recognition or light cleaning.</w:t>
            </w:r>
          </w:p>
        </w:tc>
      </w:tr>
      <w:tr>
        <w:trPr>
          <w:cantSplit/>
        </w:trPr>
        <w:tc>
          <w:tcPr>
            <w:tcW w:type="dxa" w:w="1700"/>
            <w:tcMar>
              <w:top w:w="80" w:type="dxa"/>
              <w:bottom w:w="80" w:type="dxa"/>
              <w:start w:w="120" w:type="dxa"/>
              <w:end w:w="120" w:type="dxa"/>
            </w:tcMar>
            <w:vAlign w:val="center"/>
            <w:shd w:fill="E8EEF5"/>
          </w:tcPr>
          <w:p>
            <w:pPr>
              <w:pStyle w:val="TableText"/>
              <w:keepNext/>
              <w:spacing w:after="0"/>
            </w:pPr>
            <w:r>
              <w:rPr>
                <w:rFonts w:ascii="Calibri" w:hAnsi="Calibri"/>
                <w:b/>
                <w:color w:val="1F4D78"/>
                <w:sz w:val="17"/>
              </w:rPr>
              <w:t>LIMIT</w:t>
            </w:r>
          </w:p>
        </w:tc>
        <w:tc>
          <w:tcPr>
            <w:tcW w:type="dxa" w:w="7660"/>
            <w:tcMar>
              <w:top w:w="80" w:type="dxa"/>
              <w:bottom w:w="80" w:type="dxa"/>
              <w:start w:w="120" w:type="dxa"/>
              <w:end w:w="120" w:type="dxa"/>
            </w:tcMar>
            <w:vAlign w:val="center"/>
          </w:tcPr>
          <w:p>
            <w:pPr>
              <w:pStyle w:val="TableText"/>
              <w:keepNext/>
              <w:spacing w:after="0"/>
            </w:pPr>
            <w:r>
              <w:t>The convergence does not fix one exact campaign date, engineering sequence, original tank shapes, or the relationship among sacred manifestation, earlier depressions/ponds, desilting, enlargement and masonry development.</w:t>
            </w:r>
          </w:p>
        </w:tc>
      </w:tr>
      <w:tr>
        <w:trPr>
          <w:cantSplit/>
        </w:trPr>
        <w:tc>
          <w:tcPr>
            <w:tcW w:type="dxa" w:w="1700"/>
            <w:tcMar>
              <w:top w:w="80" w:type="dxa"/>
              <w:bottom w:w="80" w:type="dxa"/>
              <w:start w:w="120" w:type="dxa"/>
              <w:end w:w="120" w:type="dxa"/>
            </w:tcMar>
            <w:vAlign w:val="center"/>
            <w:shd w:fill="E8EEF5"/>
          </w:tcPr>
          <w:p>
            <w:pPr>
              <w:pStyle w:val="TableText"/>
              <w:keepNext w:val="0"/>
              <w:spacing w:after="0"/>
            </w:pPr>
            <w:r>
              <w:rPr>
                <w:rFonts w:ascii="Calibri" w:hAnsi="Calibri"/>
                <w:b/>
                <w:color w:val="1F4D78"/>
                <w:sz w:val="17"/>
              </w:rPr>
              <w:t>WORKING FORMULA</w:t>
            </w:r>
          </w:p>
        </w:tc>
        <w:tc>
          <w:tcPr>
            <w:tcW w:type="dxa" w:w="7660"/>
            <w:tcMar>
              <w:top w:w="80" w:type="dxa"/>
              <w:bottom w:w="80" w:type="dxa"/>
              <w:start w:w="120" w:type="dxa"/>
              <w:end w:w="120" w:type="dxa"/>
            </w:tcMar>
            <w:vAlign w:val="center"/>
          </w:tcPr>
          <w:p>
            <w:pPr>
              <w:pStyle w:val="TableText"/>
              <w:keepNext w:val="0"/>
              <w:spacing w:after="0"/>
            </w:pPr>
            <w:r>
              <w:t>‘B and D evidence converge on a substantial Raghunātha-era excavation/restoration phase; the exact documentary chain, chronology and physical scope remain under investigation.’</w:t>
            </w:r>
          </w:p>
        </w:tc>
      </w:tr>
    </w:tbl>
    <w:p>
      <w:pPr>
        <w:spacing w:after="100" w:line="252" w:lineRule="auto"/>
      </w:pPr>
    </w:p>
    <w:p>
      <w:pPr>
        <w:pStyle w:val="Heading1"/>
        <w:keepNext/>
      </w:pPr>
      <w:r>
        <w:t>7. Source-control gaps carried into Block 2</w:t>
      </w:r>
    </w:p>
    <w:p>
      <w:pPr>
        <w:pStyle w:val="ListBullet"/>
        <w:spacing w:after="40" w:line="259" w:lineRule="auto"/>
      </w:pPr>
      <w:r>
        <w:t>Obtain or inspect facsimiles/transcriptions of R.D. 11, G.D. 8, M.M. 8, M.M. 4, R.D. 102, R.D. 104, R.D. 12, R.D. 57, R.D. 95, Wright 17, NAI-2671/21 and the post-1725 CU statement.</w:t>
      </w:r>
    </w:p>
    <w:p>
      <w:pPr>
        <w:pStyle w:val="ListBullet"/>
        <w:spacing w:after="40" w:line="259" w:lineRule="auto"/>
      </w:pPr>
      <w:r>
        <w:t>Resolve whether the singhāra parwāna (Rādhākuṇḍa 119) truly bears AH 1050/1640–41 or only a broad Jahangir/Shahjahan assignment; the local publication contains both descriptions.</w:t>
      </w:r>
    </w:p>
    <w:p>
      <w:pPr>
        <w:pStyle w:val="ListBullet"/>
        <w:spacing w:after="40" w:line="259" w:lineRule="auto"/>
      </w:pPr>
      <w:r>
        <w:t>Verify Habib’s reading kolāb-o-chāh in the 1588 hiba and distinguish Gobinda’s pre-existing well from the ‘pond-well’ if they are separate features.</w:t>
      </w:r>
    </w:p>
    <w:p>
      <w:pPr>
        <w:pStyle w:val="ListBullet"/>
        <w:spacing w:after="40" w:line="259" w:lineRule="auto"/>
      </w:pPr>
      <w:r>
        <w:t>Trace exactly which retrospective deeds contain soil-dumping language and compare them with the post-1725 mound statement; do not treat the early stated dates as genuine.</w:t>
      </w:r>
    </w:p>
    <w:p>
      <w:pPr>
        <w:pStyle w:val="ListBullet"/>
        <w:spacing w:after="40" w:line="259" w:lineRule="auto"/>
      </w:pPr>
      <w:r>
        <w:t>Acquire Survey of India sheet 54 E/6 and later cadastral/hydraulic maps before translating documentary directions into modern coordinates.</w:t>
      </w:r>
    </w:p>
    <w:p>
      <w:pPr>
        <w:pStyle w:val="ListBullet"/>
        <w:spacing w:after="40" w:line="259" w:lineRule="auto"/>
      </w:pPr>
      <w:r>
        <w:t>Record original language, physical archive location, accession number, seals and copy genealogy for every document before publication-level quotation.</w:t>
      </w:r>
    </w:p>
    <w:p>
      <w:pPr>
        <w:pStyle w:val="ListBullet"/>
        <w:spacing w:after="40" w:line="259" w:lineRule="auto"/>
      </w:pPr>
      <w:r>
        <w:t>Verify the Bengali Bhakti-ratnākara wording independently; B–D convergence must retain separate source histories.</w:t>
      </w:r>
    </w:p>
    <w:p>
      <w:pPr>
        <w:pStyle w:val="Heading1"/>
        <w:keepNext/>
      </w:pPr>
      <w:r>
        <w:t>8. Block 1 conclusion and next controlled move</w:t>
      </w:r>
    </w:p>
    <w:p>
      <w:pPr>
        <w:spacing w:after="100" w:line="252" w:lineRule="auto"/>
      </w:pPr>
      <w:r>
        <w:rPr>
          <w:rFonts w:ascii="Calibri" w:hAnsi="Calibri"/>
          <w:b/>
          <w:color w:val="1F4D78"/>
        </w:rPr>
        <w:t xml:space="preserve">BLOCK 1 RULING: </w:t>
      </w:r>
      <w:r>
        <w:t>DOCUMENTARY SPINE ESTABLISHED; KEY WITNESS GAPS REMAIN OPEN.</w:t>
      </w:r>
    </w:p>
    <w:p>
      <w:pPr>
        <w:keepLines/>
        <w:spacing w:after="100" w:line="252" w:lineRule="auto"/>
      </w:pPr>
      <w:r>
        <w:t>Block 2 may now reconstruct the pre-development Āriṭ landscape—hamlet, cultivated edge, wasteland/scrub, Mahādeva temple, wells, nālā, trees, village mound/ruins and plot relationships—but it must cite A10/A11 as the secure late-sixteenth-century anchors and label the earlier component deeds as retrospective. It should not yet write the continuous reader-facing historical narrative.</w:t>
      </w:r>
    </w:p>
    <w:p>
      <w:pPr>
        <w:spacing w:after="100" w:line="252" w:lineRule="auto"/>
      </w:pPr>
      <w:r>
        <w:br w:type="page"/>
      </w:r>
    </w:p>
    <w:p>
      <w:pPr>
        <w:pStyle w:val="Heading1"/>
        <w:keepNext/>
      </w:pPr>
      <w:r>
        <w:t>9. Block 2 mandate and chronological boundary</w:t>
      </w:r>
    </w:p>
    <w:tbl>
      <w:tblPr>
        <w:tblStyle w:val="TableGrid"/>
        <w:tblW w:type="auto" w:w="0"/>
        <w:tblLook w:firstColumn="1" w:firstRow="1" w:lastColumn="0" w:lastRow="0" w:noHBand="0" w:noVBand="1" w:val="04A0"/>
      </w:tblPr>
      <w:tblGrid>
        <w:gridCol w:w="9360"/>
      </w:tblGrid>
      <w:tr>
        <w:tc>
          <w:tcPr>
            <w:tcW w:type="dxa" w:w="9360"/>
            <w:shd w:fill="FFF2CC"/>
            <w:tcMar>
              <w:top w:w="120" w:type="dxa"/>
              <w:start w:w="140" w:type="dxa"/>
              <w:bottom w:w="120" w:type="dxa"/>
              <w:end w:w="140" w:type="dxa"/>
            </w:tcMar>
          </w:tcPr>
          <w:p>
            <w:r>
              <w:rPr>
                <w:b/>
                <w:color w:val="1F4D78"/>
              </w:rPr>
              <w:t xml:space="preserve">BLOCK 2 QUESTION: </w:t>
            </w:r>
            <w:r>
              <w:t>What can be said—without importing later sacred architecture backward—about Āriṭ and the two kuṇḍa sites before and during Raghunātha dāsa Gosvāmī’s period of physical development?</w:t>
            </w:r>
          </w:p>
        </w:tc>
      </w:tr>
    </w:tbl>
    <w:p>
      <w:pPr>
        <w:spacing w:after="100" w:line="252" w:lineRule="auto"/>
      </w:pPr>
    </w:p>
    <w:p>
      <w:pPr>
        <w:pStyle w:val="ListBullet"/>
      </w:pPr>
      <w:r>
        <w:t>Reconstruct the earliest recoverable land-use sequence from textual and documentary witnesses; do not force the evidence into a modern site plan.</w:t>
      </w:r>
    </w:p>
    <w:p>
      <w:pPr>
        <w:pStyle w:val="ListBullet"/>
      </w:pPr>
      <w:r>
        <w:t>Separate sacred-event and nitya-līlā descriptions from historical observations of fields, water, settlement, boundaries and works.</w:t>
      </w:r>
    </w:p>
    <w:p>
      <w:pPr>
        <w:pStyle w:val="ListBullet"/>
      </w:pPr>
      <w:r>
        <w:t>Treat Caitanya-caritāmṛta as the controlling A-layer witness for Mahāprabhu’s encounter with the site, while recognizing its retrospective composition.</w:t>
      </w:r>
    </w:p>
    <w:p>
      <w:pPr>
        <w:pStyle w:val="ListBullet"/>
      </w:pPr>
      <w:r>
        <w:t>Use the secure 1579 and 1588 Persian declarations as late-sixteenth-century D-layer anchors; earlier component deeds remain retrospective witnesses with doubtful stated dates.</w:t>
      </w:r>
    </w:p>
    <w:p>
      <w:pPr>
        <w:pStyle w:val="ListBullet"/>
      </w:pPr>
      <w:r>
        <w:t>Keep ‘appearance,’ ‘recognition,’ ‘restoration,’ ‘excavation’ and ‘creation’ analytically distinct.</w:t>
      </w:r>
    </w:p>
    <w:p>
      <w:pPr>
        <w:pStyle w:val="Heading2"/>
        <w:keepNext/>
      </w:pPr>
      <w:r>
        <w:t>Chronological control</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656"/>
            <w:shd w:fill="1F4D78"/>
            <w:tcMar>
              <w:top w:w="70" w:type="dxa"/>
              <w:start w:w="70" w:type="dxa"/>
              <w:bottom w:w="70" w:type="dxa"/>
              <w:end w:w="70" w:type="dxa"/>
            </w:tcMar>
          </w:tcPr>
          <w:p>
            <w:r>
              <w:rPr>
                <w:b/>
                <w:color w:val="FFFFFF"/>
                <w:sz w:val="17"/>
              </w:rPr>
              <w:t>Horizon</w:t>
            </w:r>
          </w:p>
        </w:tc>
        <w:tc>
          <w:tcPr>
            <w:tcW w:type="dxa" w:w="2088"/>
            <w:shd w:fill="1F4D78"/>
            <w:tcMar>
              <w:top w:w="70" w:type="dxa"/>
              <w:start w:w="70" w:type="dxa"/>
              <w:bottom w:w="70" w:type="dxa"/>
              <w:end w:w="70" w:type="dxa"/>
            </w:tcMar>
          </w:tcPr>
          <w:p>
            <w:r>
              <w:rPr>
                <w:b/>
                <w:color w:val="FFFFFF"/>
                <w:sz w:val="17"/>
              </w:rPr>
              <w:t>Controlling witness</w:t>
            </w:r>
          </w:p>
        </w:tc>
        <w:tc>
          <w:tcPr>
            <w:tcW w:type="dxa" w:w="3240"/>
            <w:shd w:fill="1F4D78"/>
            <w:tcMar>
              <w:top w:w="70" w:type="dxa"/>
              <w:start w:w="70" w:type="dxa"/>
              <w:bottom w:w="70" w:type="dxa"/>
              <w:end w:w="70" w:type="dxa"/>
            </w:tcMar>
          </w:tcPr>
          <w:p>
            <w:r>
              <w:rPr>
                <w:b/>
                <w:color w:val="FFFFFF"/>
                <w:sz w:val="17"/>
              </w:rPr>
              <w:t>Recoverable physical statement</w:t>
            </w:r>
          </w:p>
        </w:tc>
        <w:tc>
          <w:tcPr>
            <w:tcW w:type="dxa" w:w="2376"/>
            <w:shd w:fill="1F4D78"/>
            <w:tcMar>
              <w:top w:w="70" w:type="dxa"/>
              <w:start w:w="70" w:type="dxa"/>
              <w:bottom w:w="70" w:type="dxa"/>
              <w:end w:w="70" w:type="dxa"/>
            </w:tcMar>
          </w:tcPr>
          <w:p>
            <w:r>
              <w:rPr>
                <w:b/>
                <w:color w:val="FFFFFF"/>
                <w:sz w:val="17"/>
              </w:rPr>
              <w:t>Limit</w:t>
            </w:r>
          </w:p>
        </w:tc>
      </w:tr>
      <w:tr>
        <w:trPr>
          <w:cantSplit/>
        </w:trPr>
        <w:tc>
          <w:tcPr>
            <w:tcW w:type="dxa" w:w="1656"/>
            <w:tcMar>
              <w:top w:w="60" w:type="dxa"/>
              <w:start w:w="65" w:type="dxa"/>
              <w:bottom w:w="60" w:type="dxa"/>
              <w:end w:w="65" w:type="dxa"/>
            </w:tcMar>
          </w:tcPr>
          <w:p>
            <w:r>
              <w:rPr>
                <w:sz w:val="17"/>
              </w:rPr>
              <w:t>Mythic / sacred-event</w:t>
            </w:r>
          </w:p>
        </w:tc>
        <w:tc>
          <w:tcPr>
            <w:tcW w:type="dxa" w:w="2088"/>
            <w:tcMar>
              <w:top w:w="60" w:type="dxa"/>
              <w:start w:w="65" w:type="dxa"/>
              <w:bottom w:w="60" w:type="dxa"/>
              <w:end w:w="65" w:type="dxa"/>
            </w:tcMar>
          </w:tcPr>
          <w:p>
            <w:r>
              <w:rPr>
                <w:sz w:val="17"/>
              </w:rPr>
              <w:t>Bhāgavata 10.36; Varāha unit; later 20-verse account</w:t>
            </w:r>
          </w:p>
        </w:tc>
        <w:tc>
          <w:tcPr>
            <w:tcW w:type="dxa" w:w="3240"/>
            <w:tcMar>
              <w:top w:w="60" w:type="dxa"/>
              <w:start w:w="65" w:type="dxa"/>
              <w:bottom w:w="60" w:type="dxa"/>
              <w:end w:w="65" w:type="dxa"/>
            </w:tcMar>
          </w:tcPr>
          <w:p>
            <w:r>
              <w:rPr>
                <w:sz w:val="17"/>
              </w:rPr>
              <w:t>Ariṣṭa’s death; sacred origin and paired-tīrtha theology</w:t>
            </w:r>
          </w:p>
        </w:tc>
        <w:tc>
          <w:tcPr>
            <w:tcW w:type="dxa" w:w="2376"/>
            <w:tcMar>
              <w:top w:w="60" w:type="dxa"/>
              <w:start w:w="65" w:type="dxa"/>
              <w:bottom w:w="60" w:type="dxa"/>
              <w:end w:w="65" w:type="dxa"/>
            </w:tcMar>
          </w:tcPr>
          <w:p>
            <w:r>
              <w:rPr>
                <w:sz w:val="17"/>
              </w:rPr>
              <w:t>Not ordinary historical topography</w:t>
            </w:r>
          </w:p>
        </w:tc>
      </w:tr>
      <w:tr>
        <w:trPr>
          <w:cantSplit/>
        </w:trPr>
        <w:tc>
          <w:tcPr>
            <w:tcW w:type="dxa" w:w="1656"/>
            <w:tcMar>
              <w:top w:w="60" w:type="dxa"/>
              <w:start w:w="65" w:type="dxa"/>
              <w:bottom w:w="60" w:type="dxa"/>
              <w:end w:w="65" w:type="dxa"/>
            </w:tcMar>
            <w:shd w:fill="F8FBFD"/>
          </w:tcPr>
          <w:p>
            <w:r>
              <w:rPr>
                <w:sz w:val="17"/>
              </w:rPr>
              <w:t>Mahāprabhu’s visit, early 16th c.</w:t>
            </w:r>
          </w:p>
        </w:tc>
        <w:tc>
          <w:tcPr>
            <w:tcW w:type="dxa" w:w="2088"/>
            <w:tcMar>
              <w:top w:w="60" w:type="dxa"/>
              <w:start w:w="65" w:type="dxa"/>
              <w:bottom w:w="60" w:type="dxa"/>
              <w:end w:w="65" w:type="dxa"/>
            </w:tcMar>
            <w:shd w:fill="F8FBFD"/>
          </w:tcPr>
          <w:p>
            <w:r>
              <w:rPr>
                <w:sz w:val="17"/>
              </w:rPr>
              <w:t>CC Madhya 18.3–15</w:t>
            </w:r>
          </w:p>
        </w:tc>
        <w:tc>
          <w:tcPr>
            <w:tcW w:type="dxa" w:w="3240"/>
            <w:tcMar>
              <w:top w:w="60" w:type="dxa"/>
              <w:start w:w="65" w:type="dxa"/>
              <w:bottom w:w="60" w:type="dxa"/>
              <w:end w:w="65" w:type="dxa"/>
            </w:tcMar>
            <w:shd w:fill="F8FBFD"/>
          </w:tcPr>
          <w:p>
            <w:r>
              <w:rPr>
                <w:sz w:val="17"/>
              </w:rPr>
              <w:t>Inhabited Āriṭ; two paddy fields; little water; local identification obscured</w:t>
            </w:r>
          </w:p>
        </w:tc>
        <w:tc>
          <w:tcPr>
            <w:tcW w:type="dxa" w:w="2376"/>
            <w:tcMar>
              <w:top w:w="60" w:type="dxa"/>
              <w:start w:w="65" w:type="dxa"/>
              <w:bottom w:w="60" w:type="dxa"/>
              <w:end w:w="65" w:type="dxa"/>
            </w:tcMar>
            <w:shd w:fill="F8FBFD"/>
          </w:tcPr>
          <w:p>
            <w:r>
              <w:rPr>
                <w:sz w:val="17"/>
              </w:rPr>
              <w:t>CC is later than the visit; no measured dimensions</w:t>
            </w:r>
          </w:p>
        </w:tc>
      </w:tr>
      <w:tr>
        <w:trPr>
          <w:cantSplit/>
        </w:trPr>
        <w:tc>
          <w:tcPr>
            <w:tcW w:type="dxa" w:w="1656"/>
            <w:tcMar>
              <w:top w:w="60" w:type="dxa"/>
              <w:start w:w="65" w:type="dxa"/>
              <w:bottom w:w="60" w:type="dxa"/>
              <w:end w:w="65" w:type="dxa"/>
            </w:tcMar>
          </w:tcPr>
          <w:p>
            <w:r>
              <w:rPr>
                <w:sz w:val="17"/>
              </w:rPr>
              <w:t>Later 16th c.</w:t>
            </w:r>
          </w:p>
        </w:tc>
        <w:tc>
          <w:tcPr>
            <w:tcW w:type="dxa" w:w="2088"/>
            <w:tcMar>
              <w:top w:w="60" w:type="dxa"/>
              <w:start w:w="65" w:type="dxa"/>
              <w:bottom w:w="60" w:type="dxa"/>
              <w:end w:w="65" w:type="dxa"/>
            </w:tcMar>
          </w:tcPr>
          <w:p>
            <w:r>
              <w:rPr>
                <w:sz w:val="17"/>
              </w:rPr>
              <w:t>1579 declaration; 1588 hiba declaration</w:t>
            </w:r>
          </w:p>
        </w:tc>
        <w:tc>
          <w:tcPr>
            <w:tcW w:type="dxa" w:w="3240"/>
            <w:tcMar>
              <w:top w:w="60" w:type="dxa"/>
              <w:start w:w="65" w:type="dxa"/>
              <w:bottom w:w="60" w:type="dxa"/>
              <w:end w:w="65" w:type="dxa"/>
            </w:tcMar>
          </w:tcPr>
          <w:p>
            <w:r>
              <w:rPr>
                <w:sz w:val="17"/>
              </w:rPr>
              <w:t>Village-edge mixed landscape: cultivation, wasteland plots, wells, nālā, trees, shrine, ghāṭ/passage</w:t>
            </w:r>
          </w:p>
        </w:tc>
        <w:tc>
          <w:tcPr>
            <w:tcW w:type="dxa" w:w="2376"/>
            <w:tcMar>
              <w:top w:w="60" w:type="dxa"/>
              <w:start w:w="65" w:type="dxa"/>
              <w:bottom w:w="60" w:type="dxa"/>
              <w:end w:w="65" w:type="dxa"/>
            </w:tcMar>
          </w:tcPr>
          <w:p>
            <w:r>
              <w:rPr>
                <w:sz w:val="17"/>
              </w:rPr>
              <w:t>Cannot project every feature backward to the visit</w:t>
            </w:r>
          </w:p>
        </w:tc>
      </w:tr>
      <w:tr>
        <w:trPr>
          <w:cantSplit/>
        </w:trPr>
        <w:tc>
          <w:tcPr>
            <w:tcW w:type="dxa" w:w="1656"/>
            <w:tcMar>
              <w:top w:w="60" w:type="dxa"/>
              <w:start w:w="65" w:type="dxa"/>
              <w:bottom w:w="60" w:type="dxa"/>
              <w:end w:w="65" w:type="dxa"/>
            </w:tcMar>
            <w:shd w:fill="F8FBFD"/>
          </w:tcPr>
          <w:p>
            <w:r>
              <w:rPr>
                <w:sz w:val="17"/>
              </w:rPr>
              <w:t>Raghunātha-era transformation</w:t>
            </w:r>
          </w:p>
        </w:tc>
        <w:tc>
          <w:tcPr>
            <w:tcW w:type="dxa" w:w="2088"/>
            <w:tcMar>
              <w:top w:w="60" w:type="dxa"/>
              <w:start w:w="65" w:type="dxa"/>
              <w:bottom w:w="60" w:type="dxa"/>
              <w:end w:w="65" w:type="dxa"/>
            </w:tcMar>
            <w:shd w:fill="F8FBFD"/>
          </w:tcPr>
          <w:p>
            <w:r>
              <w:rPr>
                <w:sz w:val="17"/>
              </w:rPr>
              <w:t>Block 1 B–D convergence</w:t>
            </w:r>
          </w:p>
        </w:tc>
        <w:tc>
          <w:tcPr>
            <w:tcW w:type="dxa" w:w="3240"/>
            <w:tcMar>
              <w:top w:w="60" w:type="dxa"/>
              <w:start w:w="65" w:type="dxa"/>
              <w:bottom w:w="60" w:type="dxa"/>
              <w:end w:w="65" w:type="dxa"/>
            </w:tcMar>
            <w:shd w:fill="F8FBFD"/>
          </w:tcPr>
          <w:p>
            <w:r>
              <w:rPr>
                <w:sz w:val="17"/>
              </w:rPr>
              <w:t>Substantial paired excavation/restoration is highly probable</w:t>
            </w:r>
          </w:p>
        </w:tc>
        <w:tc>
          <w:tcPr>
            <w:tcW w:type="dxa" w:w="2376"/>
            <w:tcMar>
              <w:top w:w="60" w:type="dxa"/>
              <w:start w:w="65" w:type="dxa"/>
              <w:bottom w:w="60" w:type="dxa"/>
              <w:end w:w="65" w:type="dxa"/>
            </w:tcMar>
            <w:shd w:fill="F8FBFD"/>
          </w:tcPr>
          <w:p>
            <w:r>
              <w:rPr>
                <w:sz w:val="17"/>
              </w:rPr>
              <w:t>Exact campaign, dimensions and work sequence remain open</w:t>
            </w:r>
          </w:p>
        </w:tc>
      </w:tr>
      <w:tr>
        <w:trPr>
          <w:cantSplit/>
        </w:trPr>
        <w:tc>
          <w:tcPr>
            <w:tcW w:type="dxa" w:w="1656"/>
            <w:tcMar>
              <w:top w:w="60" w:type="dxa"/>
              <w:start w:w="65" w:type="dxa"/>
              <w:bottom w:w="60" w:type="dxa"/>
              <w:end w:w="65" w:type="dxa"/>
            </w:tcMar>
          </w:tcPr>
          <w:p>
            <w:r>
              <w:rPr>
                <w:sz w:val="17"/>
              </w:rPr>
              <w:t>Later built environment</w:t>
            </w:r>
          </w:p>
        </w:tc>
        <w:tc>
          <w:tcPr>
            <w:tcW w:type="dxa" w:w="2088"/>
            <w:tcMar>
              <w:top w:w="60" w:type="dxa"/>
              <w:start w:w="65" w:type="dxa"/>
              <w:bottom w:w="60" w:type="dxa"/>
              <w:end w:w="65" w:type="dxa"/>
            </w:tcMar>
          </w:tcPr>
          <w:p>
            <w:r>
              <w:rPr>
                <w:sz w:val="17"/>
              </w:rPr>
              <w:t>1598 onward documentary chain; later surveys/accounts</w:t>
            </w:r>
          </w:p>
        </w:tc>
        <w:tc>
          <w:tcPr>
            <w:tcW w:type="dxa" w:w="3240"/>
            <w:tcMar>
              <w:top w:w="60" w:type="dxa"/>
              <w:start w:w="65" w:type="dxa"/>
              <w:bottom w:w="60" w:type="dxa"/>
              <w:end w:w="65" w:type="dxa"/>
            </w:tcMar>
          </w:tcPr>
          <w:p>
            <w:r>
              <w:rPr>
                <w:sz w:val="17"/>
              </w:rPr>
              <w:t>Temple endowment and progressively formalized sacred complex</w:t>
            </w:r>
          </w:p>
        </w:tc>
        <w:tc>
          <w:tcPr>
            <w:tcW w:type="dxa" w:w="2376"/>
            <w:tcMar>
              <w:top w:w="60" w:type="dxa"/>
              <w:start w:w="65" w:type="dxa"/>
              <w:bottom w:w="60" w:type="dxa"/>
              <w:end w:w="65" w:type="dxa"/>
            </w:tcMar>
          </w:tcPr>
          <w:p>
            <w:r>
              <w:rPr>
                <w:sz w:val="17"/>
              </w:rPr>
              <w:t>Outside Block 2 except as terminus</w:t>
            </w:r>
          </w:p>
        </w:tc>
      </w:tr>
    </w:tbl>
    <w:p>
      <w:pPr>
        <w:spacing w:after="100" w:line="252" w:lineRule="auto"/>
      </w:pPr>
    </w:p>
    <w:p>
      <w:pPr>
        <w:pStyle w:val="Heading1"/>
        <w:keepNext/>
      </w:pPr>
      <w:r>
        <w:t>10. Source-control corrections and witness status</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75" w:type="dxa"/>
              <w:start w:w="90" w:type="dxa"/>
              <w:bottom w:w="75" w:type="dxa"/>
              <w:end w:w="90" w:type="dxa"/>
            </w:tcMar>
            <w:shd w:fill="D9EAF7"/>
          </w:tcPr>
          <w:p>
            <w:r>
              <w:rPr>
                <w:b/>
                <w:color w:val="1F4D78"/>
              </w:rPr>
              <w:t>BHĀGAVATA</w:t>
            </w:r>
          </w:p>
        </w:tc>
        <w:tc>
          <w:tcPr>
            <w:tcW w:type="dxa" w:w="6408"/>
            <w:vAlign w:val="top"/>
            <w:tcMar>
              <w:top w:w="75" w:type="dxa"/>
              <w:start w:w="90" w:type="dxa"/>
              <w:bottom w:w="75" w:type="dxa"/>
              <w:end w:w="90" w:type="dxa"/>
            </w:tcMar>
          </w:tcPr>
          <w:p>
            <w:r>
              <w:t>Śrīmad-Bhāgavatam 10.36 narrates Ariṣṭāsura’s attack and death but does not name Rādhā-kuṇḍa, Śyāma-kuṇḍa, Āriṭ village, paddy fields or a summons of the tīrthas.</w:t>
            </w:r>
          </w:p>
        </w:tc>
      </w:tr>
      <w:tr>
        <w:trPr>
          <w:cantSplit/>
        </w:trPr>
        <w:tc>
          <w:tcPr>
            <w:tcW w:type="dxa" w:w="2232"/>
            <w:vAlign w:val="top"/>
            <w:tcMar>
              <w:top w:w="75" w:type="dxa"/>
              <w:start w:w="90" w:type="dxa"/>
              <w:bottom w:w="75" w:type="dxa"/>
              <w:end w:w="90" w:type="dxa"/>
            </w:tcMar>
            <w:shd w:fill="D9EAF7"/>
          </w:tcPr>
          <w:p>
            <w:r>
              <w:rPr>
                <w:b/>
                <w:color w:val="1F4D78"/>
              </w:rPr>
              <w:t>VARĀHA UNIT</w:t>
            </w:r>
          </w:p>
        </w:tc>
        <w:tc>
          <w:tcPr>
            <w:tcW w:type="dxa" w:w="6408"/>
            <w:vAlign w:val="top"/>
            <w:tcMar>
              <w:top w:w="75" w:type="dxa"/>
              <w:start w:w="90" w:type="dxa"/>
              <w:bottom w:w="75" w:type="dxa"/>
              <w:end w:w="90" w:type="dxa"/>
            </w:tcMar>
          </w:tcPr>
          <w:p>
            <w:r>
              <w:t>An extant Varāha Purāṇa witness, currently numbered 164.29–34 (162.29–34 in another edition/citation system), contains the heel-strike, Ariṣṭa-kuṇḍa, an adjacent Rādhā-named tīrtha, and the paired bathing-merit verse. This partially resolves—rather than completely resolves—the Purāṇic provenance problem.</w:t>
            </w:r>
          </w:p>
        </w:tc>
      </w:tr>
      <w:tr>
        <w:trPr>
          <w:cantSplit/>
        </w:trPr>
        <w:tc>
          <w:tcPr>
            <w:tcW w:type="dxa" w:w="2232"/>
            <w:vAlign w:val="top"/>
            <w:tcMar>
              <w:top w:w="75" w:type="dxa"/>
              <w:start w:w="90" w:type="dxa"/>
              <w:bottom w:w="75" w:type="dxa"/>
              <w:end w:w="90" w:type="dxa"/>
            </w:tcMar>
            <w:shd w:fill="D9EAF7"/>
          </w:tcPr>
          <w:p>
            <w:r>
              <w:rPr>
                <w:b/>
                <w:color w:val="1F4D78"/>
              </w:rPr>
              <w:t>RŪPA</w:t>
            </w:r>
          </w:p>
        </w:tc>
        <w:tc>
          <w:tcPr>
            <w:tcW w:type="dxa" w:w="6408"/>
            <w:vAlign w:val="top"/>
            <w:tcMar>
              <w:top w:w="75" w:type="dxa"/>
              <w:start w:w="90" w:type="dxa"/>
              <w:bottom w:w="75" w:type="dxa"/>
              <w:end w:w="90" w:type="dxa"/>
            </w:tcMar>
          </w:tcPr>
          <w:p>
            <w:r>
              <w:t>Mathurā-māhātmya 418 transmits the paired bathing-merit verse as Ādi-varāha; 419–423 assemble related Mathurā-khaṇḍa and Padma/Kārttika material. These passages establish tīrtha authority, not a sixteenth-century site survey.</w:t>
            </w:r>
          </w:p>
        </w:tc>
      </w:tr>
      <w:tr>
        <w:trPr>
          <w:cantSplit/>
        </w:trPr>
        <w:tc>
          <w:tcPr>
            <w:tcW w:type="dxa" w:w="2232"/>
            <w:vAlign w:val="top"/>
            <w:tcMar>
              <w:top w:w="75" w:type="dxa"/>
              <w:start w:w="90" w:type="dxa"/>
              <w:bottom w:w="75" w:type="dxa"/>
              <w:end w:w="90" w:type="dxa"/>
            </w:tcMar>
            <w:shd w:fill="D9EAF7"/>
          </w:tcPr>
          <w:p>
            <w:r>
              <w:rPr>
                <w:b/>
                <w:color w:val="1F4D78"/>
              </w:rPr>
              <w:t>VIŚVANĀTHA</w:t>
            </w:r>
          </w:p>
        </w:tc>
        <w:tc>
          <w:tcPr>
            <w:tcW w:type="dxa" w:w="6408"/>
            <w:vAlign w:val="top"/>
            <w:tcMar>
              <w:top w:w="75" w:type="dxa"/>
              <w:start w:w="90" w:type="dxa"/>
              <w:bottom w:w="75" w:type="dxa"/>
              <w:end w:w="90" w:type="dxa"/>
            </w:tcMar>
          </w:tcPr>
          <w:p>
            <w:r>
              <w:t>Sārārtha-darśinī transmits a twenty-verse appearance account. The inspected English edition places it after the commentary on Bhāgavata 10.36.16; catalogs or other witnesses sometimes index it under 10.36.15. The whole unit should not yet be called one verbatim Purāṇa passage.</w:t>
            </w:r>
          </w:p>
        </w:tc>
      </w:tr>
      <w:tr>
        <w:trPr>
          <w:cantSplit/>
        </w:trPr>
        <w:tc>
          <w:tcPr>
            <w:tcW w:type="dxa" w:w="2232"/>
            <w:vAlign w:val="top"/>
            <w:tcMar>
              <w:top w:w="75" w:type="dxa"/>
              <w:start w:w="90" w:type="dxa"/>
              <w:bottom w:w="75" w:type="dxa"/>
              <w:end w:w="90" w:type="dxa"/>
            </w:tcMar>
            <w:shd w:fill="D9EAF7"/>
          </w:tcPr>
          <w:p>
            <w:r>
              <w:rPr>
                <w:b/>
                <w:color w:val="1F4D78"/>
              </w:rPr>
              <w:t>CAITANYA-CARITĀMṚTA</w:t>
            </w:r>
          </w:p>
        </w:tc>
        <w:tc>
          <w:tcPr>
            <w:tcW w:type="dxa" w:w="6408"/>
            <w:vAlign w:val="top"/>
            <w:tcMar>
              <w:top w:w="75" w:type="dxa"/>
              <w:start w:w="90" w:type="dxa"/>
              <w:bottom w:w="75" w:type="dxa"/>
              <w:end w:w="90" w:type="dxa"/>
            </w:tcMar>
          </w:tcPr>
          <w:p>
            <w:r>
              <w:t>Madhya 18.3–15 is the strongest early physical witness. The text’s dui dhānya-kṣetre alpa-jale describes a little water in two paddy fields; tīrtha lupta indicates lost/obscured identification, not necessarily physical nonexistence.</w:t>
            </w:r>
          </w:p>
        </w:tc>
      </w:tr>
      <w:tr>
        <w:trPr>
          <w:cantSplit/>
        </w:trPr>
        <w:tc>
          <w:tcPr>
            <w:tcW w:type="dxa" w:w="2232"/>
            <w:vAlign w:val="top"/>
            <w:tcMar>
              <w:top w:w="75" w:type="dxa"/>
              <w:start w:w="90" w:type="dxa"/>
              <w:bottom w:w="75" w:type="dxa"/>
              <w:end w:w="90" w:type="dxa"/>
            </w:tcMar>
            <w:shd w:fill="D9EAF7"/>
          </w:tcPr>
          <w:p>
            <w:r>
              <w:rPr>
                <w:b/>
                <w:color w:val="1F4D78"/>
              </w:rPr>
              <w:t>GOVINDA-LĪLĀMṚTA</w:t>
            </w:r>
          </w:p>
        </w:tc>
        <w:tc>
          <w:tcPr>
            <w:tcW w:type="dxa" w:w="6408"/>
            <w:vAlign w:val="top"/>
            <w:tcMar>
              <w:top w:w="75" w:type="dxa"/>
              <w:start w:w="90" w:type="dxa"/>
              <w:bottom w:w="75" w:type="dxa"/>
              <w:end w:w="90" w:type="dxa"/>
            </w:tcMar>
          </w:tcPr>
          <w:p>
            <w:r>
              <w:t>The mūla Sarga 7 gives paired-kuṇḍa and nitya-līlā sacred geography. A local file labeled as commentary for Sargas 1–14 does not align with the mūla Sarga 7 sequence in its extracted text; it is quarantined from line-by-line verification until its identity/recension is resolved.</w:t>
            </w:r>
          </w:p>
        </w:tc>
      </w:tr>
      <w:tr>
        <w:trPr>
          <w:cantSplit/>
        </w:trPr>
        <w:tc>
          <w:tcPr>
            <w:tcW w:type="dxa" w:w="2232"/>
            <w:vAlign w:val="top"/>
            <w:tcMar>
              <w:top w:w="75" w:type="dxa"/>
              <w:start w:w="90" w:type="dxa"/>
              <w:bottom w:w="75" w:type="dxa"/>
              <w:end w:w="90" w:type="dxa"/>
            </w:tcMar>
            <w:shd w:fill="D9EAF7"/>
          </w:tcPr>
          <w:p>
            <w:r>
              <w:rPr>
                <w:b/>
                <w:color w:val="1F4D78"/>
              </w:rPr>
              <w:t>VRAJA-BHAKTI-VILĀSA</w:t>
            </w:r>
          </w:p>
        </w:tc>
        <w:tc>
          <w:tcPr>
            <w:tcW w:type="dxa" w:w="6408"/>
            <w:vAlign w:val="top"/>
            <w:tcMar>
              <w:top w:w="75" w:type="dxa"/>
              <w:start w:w="90" w:type="dxa"/>
              <w:bottom w:w="75" w:type="dxa"/>
              <w:end w:w="90" w:type="dxa"/>
            </w:tcMar>
          </w:tcPr>
          <w:p>
            <w:r>
              <w:t>The local witness supplies early pilgrimage localization, named kuṇḍas and icons. Its Śrī-kuṇḍavana passage includes a problematic Dhenuka/Ariṣṭa association and complex enumeration; the printed witness must be checked before publication-level translation.</w:t>
            </w:r>
          </w:p>
        </w:tc>
      </w:tr>
      <w:tr>
        <w:trPr>
          <w:cantSplit/>
        </w:trPr>
        <w:tc>
          <w:tcPr>
            <w:tcW w:type="dxa" w:w="2232"/>
            <w:vAlign w:val="top"/>
            <w:tcMar>
              <w:top w:w="75" w:type="dxa"/>
              <w:start w:w="90" w:type="dxa"/>
              <w:bottom w:w="75" w:type="dxa"/>
              <w:end w:w="90" w:type="dxa"/>
            </w:tcMar>
            <w:shd w:fill="D9EAF7"/>
          </w:tcPr>
          <w:p>
            <w:r>
              <w:rPr>
                <w:b/>
                <w:color w:val="1F4D78"/>
              </w:rPr>
              <w:t>BHAKTI-RATNĀKARA</w:t>
            </w:r>
          </w:p>
        </w:tc>
        <w:tc>
          <w:tcPr>
            <w:tcW w:type="dxa" w:w="6408"/>
            <w:vAlign w:val="top"/>
            <w:tcMar>
              <w:top w:w="75" w:type="dxa"/>
              <w:start w:w="90" w:type="dxa"/>
              <w:bottom w:w="75" w:type="dxa"/>
              <w:end w:w="90" w:type="dxa"/>
            </w:tcMar>
          </w:tcPr>
          <w:p>
            <w:r>
              <w:t>The independently recovered Bengali wording calls the paddy fields the kuṇḍadvaya and later uses both paṅkoddhāra and khodāila. It preserves a restoration/excavation memory but remains a retrospective B-layer tradition.</w:t>
            </w:r>
          </w:p>
        </w:tc>
      </w:tr>
    </w:tbl>
    <w:p>
      <w:pPr>
        <w:spacing w:after="100" w:line="252" w:lineRule="auto"/>
      </w:pPr>
    </w:p>
    <w:p>
      <w:pPr>
        <w:pStyle w:val="Heading1"/>
        <w:keepNext/>
      </w:pPr>
      <w:r>
        <w:t>11. Block 2 evidence ledger</w:t>
      </w:r>
    </w:p>
    <w:p>
      <w:pPr>
        <w:spacing w:after="100" w:line="252" w:lineRule="auto"/>
      </w:pPr>
      <w:r>
        <w:rPr>
          <w:b/>
        </w:rPr>
        <w:t xml:space="preserve">Identifier rule. </w:t>
      </w:r>
      <w:r>
        <w:t>P01–P16 are Block 2 pre-development evidence units. They do not replace the A01–A29 document identifiers in Block 1 and must not be confused with the project’s A/B/C/D evidence layers.</w:t>
      </w:r>
    </w:p>
    <w:p>
      <w:pPr>
        <w:pStyle w:val="Heading3"/>
        <w:keepNext/>
      </w:pPr>
      <w:r>
        <w:t>P01 — Bhāgavata 10.36: Ariṣṭāsura event and negative control</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75" w:type="dxa"/>
              <w:start w:w="90" w:type="dxa"/>
              <w:bottom w:w="75" w:type="dxa"/>
              <w:end w:w="90" w:type="dxa"/>
            </w:tcMar>
            <w:shd w:fill="D9EAF7"/>
          </w:tcPr>
          <w:p>
            <w:r>
              <w:rPr>
                <w:b/>
                <w:color w:val="1F4D78"/>
              </w:rPr>
              <w:t>LOCUS / WITNESS</w:t>
            </w:r>
          </w:p>
        </w:tc>
        <w:tc>
          <w:tcPr>
            <w:tcW w:type="dxa" w:w="6408"/>
            <w:vAlign w:val="top"/>
            <w:tcMar>
              <w:top w:w="75" w:type="dxa"/>
              <w:start w:w="90" w:type="dxa"/>
              <w:bottom w:w="75" w:type="dxa"/>
              <w:end w:w="90" w:type="dxa"/>
            </w:tcMar>
          </w:tcPr>
          <w:p>
            <w:r>
              <w:t>Śrīmad-Bhāgavatam 10.36.1–15; root narrative. Online Sanskrit/translation witness rechecked 19 Aug 2026.</w:t>
            </w:r>
          </w:p>
        </w:tc>
      </w:tr>
      <w:tr>
        <w:trPr>
          <w:cantSplit/>
        </w:trPr>
        <w:tc>
          <w:tcPr>
            <w:tcW w:type="dxa" w:w="2232"/>
            <w:vAlign w:val="top"/>
            <w:tcMar>
              <w:top w:w="75" w:type="dxa"/>
              <w:start w:w="90" w:type="dxa"/>
              <w:bottom w:w="75" w:type="dxa"/>
              <w:end w:w="90" w:type="dxa"/>
            </w:tcMar>
            <w:shd w:fill="D9EAF7"/>
          </w:tcPr>
          <w:p>
            <w:r>
              <w:rPr>
                <w:b/>
                <w:color w:val="1F4D78"/>
              </w:rPr>
              <w:t>LAYER / GENRE</w:t>
            </w:r>
          </w:p>
        </w:tc>
        <w:tc>
          <w:tcPr>
            <w:tcW w:type="dxa" w:w="6408"/>
            <w:vAlign w:val="top"/>
            <w:tcMar>
              <w:top w:w="75" w:type="dxa"/>
              <w:start w:w="90" w:type="dxa"/>
              <w:bottom w:w="75" w:type="dxa"/>
              <w:end w:w="90" w:type="dxa"/>
            </w:tcMar>
          </w:tcPr>
          <w:p>
            <w:r>
              <w:t>A — primary scripture; sacred-event narrative.</w:t>
            </w:r>
          </w:p>
        </w:tc>
      </w:tr>
      <w:tr>
        <w:trPr>
          <w:cantSplit/>
        </w:trPr>
        <w:tc>
          <w:tcPr>
            <w:tcW w:type="dxa" w:w="2232"/>
            <w:vAlign w:val="top"/>
            <w:tcMar>
              <w:top w:w="75" w:type="dxa"/>
              <w:start w:w="90" w:type="dxa"/>
              <w:bottom w:w="75" w:type="dxa"/>
              <w:end w:w="90" w:type="dxa"/>
            </w:tcMar>
            <w:shd w:fill="D9EAF7"/>
          </w:tcPr>
          <w:p>
            <w:r>
              <w:rPr>
                <w:b/>
                <w:color w:val="1F4D78"/>
              </w:rPr>
              <w:t>SOURCE WORDING</w:t>
            </w:r>
          </w:p>
        </w:tc>
        <w:tc>
          <w:tcPr>
            <w:tcW w:type="dxa" w:w="6408"/>
            <w:vAlign w:val="top"/>
            <w:tcMar>
              <w:top w:w="75" w:type="dxa"/>
              <w:start w:w="90" w:type="dxa"/>
              <w:bottom w:w="75" w:type="dxa"/>
              <w:end w:w="90" w:type="dxa"/>
            </w:tcMar>
          </w:tcPr>
          <w:p>
            <w:r>
              <w:t>Ariṣṭa appears in bull form, disrupts Vraja and is killed by Kṛṣṇa. Verse 15 returns Kṛṣṇa to the cowherd settlement; verse 16 turns to Nārada and Kaṁsa.</w:t>
            </w:r>
          </w:p>
        </w:tc>
      </w:tr>
      <w:tr>
        <w:trPr>
          <w:cantSplit/>
        </w:trPr>
        <w:tc>
          <w:tcPr>
            <w:tcW w:type="dxa" w:w="2232"/>
            <w:vAlign w:val="top"/>
            <w:tcMar>
              <w:top w:w="75" w:type="dxa"/>
              <w:start w:w="90" w:type="dxa"/>
              <w:bottom w:w="75" w:type="dxa"/>
              <w:end w:w="90" w:type="dxa"/>
            </w:tcMar>
            <w:shd w:fill="D9EAF7"/>
          </w:tcPr>
          <w:p>
            <w:r>
              <w:rPr>
                <w:b/>
                <w:color w:val="1F4D78"/>
              </w:rPr>
              <w:t>PHYSICAL SIGNAL</w:t>
            </w:r>
          </w:p>
        </w:tc>
        <w:tc>
          <w:tcPr>
            <w:tcW w:type="dxa" w:w="6408"/>
            <w:vAlign w:val="top"/>
            <w:tcMar>
              <w:top w:w="75" w:type="dxa"/>
              <w:start w:w="90" w:type="dxa"/>
              <w:bottom w:w="75" w:type="dxa"/>
              <w:end w:w="90" w:type="dxa"/>
            </w:tcMar>
          </w:tcPr>
          <w:p>
            <w:r>
              <w:t>Earth, hooves, pasture/cowherd setting and the demon’s death; no kuṇḍa topography.</w:t>
            </w:r>
          </w:p>
        </w:tc>
      </w:tr>
      <w:tr>
        <w:trPr>
          <w:cantSplit/>
        </w:trPr>
        <w:tc>
          <w:tcPr>
            <w:tcW w:type="dxa" w:w="2232"/>
            <w:vAlign w:val="top"/>
            <w:tcMar>
              <w:top w:w="75" w:type="dxa"/>
              <w:start w:w="90" w:type="dxa"/>
              <w:bottom w:w="75" w:type="dxa"/>
              <w:end w:w="90" w:type="dxa"/>
            </w:tcMar>
            <w:shd w:fill="D9EAF7"/>
          </w:tcPr>
          <w:p>
            <w:r>
              <w:rPr>
                <w:b/>
                <w:color w:val="1F4D78"/>
              </w:rPr>
              <w:t>PROVES</w:t>
            </w:r>
          </w:p>
        </w:tc>
        <w:tc>
          <w:tcPr>
            <w:tcW w:type="dxa" w:w="6408"/>
            <w:vAlign w:val="top"/>
            <w:tcMar>
              <w:top w:w="75" w:type="dxa"/>
              <w:start w:w="90" w:type="dxa"/>
              <w:bottom w:w="75" w:type="dxa"/>
              <w:end w:w="90" w:type="dxa"/>
            </w:tcMar>
          </w:tcPr>
          <w:p>
            <w:r>
              <w:t>The canonical Ariṣṭāsura episode that later kuṇḍa traditions interpret.</w:t>
            </w:r>
          </w:p>
        </w:tc>
      </w:tr>
      <w:tr>
        <w:trPr>
          <w:cantSplit/>
        </w:trPr>
        <w:tc>
          <w:tcPr>
            <w:tcW w:type="dxa" w:w="2232"/>
            <w:vAlign w:val="top"/>
            <w:tcMar>
              <w:top w:w="75" w:type="dxa"/>
              <w:start w:w="90" w:type="dxa"/>
              <w:bottom w:w="75" w:type="dxa"/>
              <w:end w:w="90" w:type="dxa"/>
            </w:tcMar>
            <w:shd w:fill="D9EAF7"/>
          </w:tcPr>
          <w:p>
            <w:r>
              <w:rPr>
                <w:b/>
                <w:color w:val="1F4D78"/>
              </w:rPr>
              <w:t>DOES NOT PROVE</w:t>
            </w:r>
          </w:p>
        </w:tc>
        <w:tc>
          <w:tcPr>
            <w:tcW w:type="dxa" w:w="6408"/>
            <w:vAlign w:val="top"/>
            <w:tcMar>
              <w:top w:w="75" w:type="dxa"/>
              <w:start w:w="90" w:type="dxa"/>
              <w:bottom w:w="75" w:type="dxa"/>
              <w:end w:w="90" w:type="dxa"/>
            </w:tcMar>
          </w:tcPr>
          <w:p>
            <w:r>
              <w:t>No Rādhā, paired ponds, Āriṭ village, paddy fields, tīrtha assembly or excavation appears in the chapter itself.</w:t>
            </w:r>
          </w:p>
        </w:tc>
      </w:tr>
      <w:tr>
        <w:trPr>
          <w:cantSplit/>
        </w:trPr>
        <w:tc>
          <w:tcPr>
            <w:tcW w:type="dxa" w:w="2232"/>
            <w:vAlign w:val="top"/>
            <w:tcMar>
              <w:top w:w="75" w:type="dxa"/>
              <w:start w:w="90" w:type="dxa"/>
              <w:bottom w:w="75" w:type="dxa"/>
              <w:end w:w="90" w:type="dxa"/>
            </w:tcMar>
            <w:shd w:fill="D9EAF7"/>
          </w:tcPr>
          <w:p>
            <w:r>
              <w:rPr>
                <w:b/>
                <w:color w:val="1F4D78"/>
              </w:rPr>
              <w:t>CONTROL STATUS</w:t>
            </w:r>
          </w:p>
        </w:tc>
        <w:tc>
          <w:tcPr>
            <w:tcW w:type="dxa" w:w="6408"/>
            <w:vAlign w:val="top"/>
            <w:tcMar>
              <w:top w:w="75" w:type="dxa"/>
              <w:start w:w="90" w:type="dxa"/>
              <w:bottom w:w="75" w:type="dxa"/>
              <w:end w:w="90" w:type="dxa"/>
            </w:tcMar>
          </w:tcPr>
          <w:p>
            <w:r>
              <w:t>HIGH for the negative control; it must not be expanded with later narrative details.</w:t>
            </w:r>
          </w:p>
        </w:tc>
      </w:tr>
    </w:tbl>
    <w:p>
      <w:pPr>
        <w:spacing w:after="100" w:line="252" w:lineRule="auto"/>
      </w:pPr>
    </w:p>
    <w:p>
      <w:pPr>
        <w:pStyle w:val="Heading3"/>
        <w:keepNext/>
      </w:pPr>
      <w:r>
        <w:t>P02 — Varāha Purāṇa 164.29–32: recoverable Purāṇic core</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75" w:type="dxa"/>
              <w:start w:w="90" w:type="dxa"/>
              <w:bottom w:w="75" w:type="dxa"/>
              <w:end w:w="90" w:type="dxa"/>
            </w:tcMar>
            <w:shd w:fill="D9EAF7"/>
          </w:tcPr>
          <w:p>
            <w:r>
              <w:rPr>
                <w:b/>
                <w:color w:val="1F4D78"/>
              </w:rPr>
              <w:t>LOCUS / WITNESS</w:t>
            </w:r>
          </w:p>
        </w:tc>
        <w:tc>
          <w:tcPr>
            <w:tcW w:type="dxa" w:w="6408"/>
            <w:vAlign w:val="top"/>
            <w:tcMar>
              <w:top w:w="75" w:type="dxa"/>
              <w:start w:w="90" w:type="dxa"/>
              <w:bottom w:w="75" w:type="dxa"/>
              <w:end w:w="90" w:type="dxa"/>
            </w:tcMar>
          </w:tcPr>
          <w:p>
            <w:r>
              <w:t>Varāha Purāṇa, present online numbering 164.29–32; cited as 162.29–34 by Entwistle/another edition. Sanskrit witness rechecked 19 Aug 2026.</w:t>
            </w:r>
          </w:p>
        </w:tc>
      </w:tr>
      <w:tr>
        <w:trPr>
          <w:cantSplit/>
        </w:trPr>
        <w:tc>
          <w:tcPr>
            <w:tcW w:type="dxa" w:w="2232"/>
            <w:vAlign w:val="top"/>
            <w:tcMar>
              <w:top w:w="75" w:type="dxa"/>
              <w:start w:w="90" w:type="dxa"/>
              <w:bottom w:w="75" w:type="dxa"/>
              <w:end w:w="90" w:type="dxa"/>
            </w:tcMar>
            <w:shd w:fill="D9EAF7"/>
          </w:tcPr>
          <w:p>
            <w:r>
              <w:rPr>
                <w:b/>
                <w:color w:val="1F4D78"/>
              </w:rPr>
              <w:t>LAYER / GENRE</w:t>
            </w:r>
          </w:p>
        </w:tc>
        <w:tc>
          <w:tcPr>
            <w:tcW w:type="dxa" w:w="6408"/>
            <w:vAlign w:val="top"/>
            <w:tcMar>
              <w:top w:w="75" w:type="dxa"/>
              <w:start w:w="90" w:type="dxa"/>
              <w:bottom w:w="75" w:type="dxa"/>
              <w:end w:w="90" w:type="dxa"/>
            </w:tcMar>
          </w:tcPr>
          <w:p>
            <w:r>
              <w:t>A — Purāṇic māhātmya/sacred geography.</w:t>
            </w:r>
          </w:p>
        </w:tc>
      </w:tr>
      <w:tr>
        <w:trPr>
          <w:cantSplit/>
        </w:trPr>
        <w:tc>
          <w:tcPr>
            <w:tcW w:type="dxa" w:w="2232"/>
            <w:vAlign w:val="top"/>
            <w:tcMar>
              <w:top w:w="75" w:type="dxa"/>
              <w:start w:w="90" w:type="dxa"/>
              <w:bottom w:w="75" w:type="dxa"/>
              <w:end w:w="90" w:type="dxa"/>
            </w:tcMar>
            <w:shd w:fill="D9EAF7"/>
          </w:tcPr>
          <w:p>
            <w:r>
              <w:rPr>
                <w:b/>
                <w:color w:val="1F4D78"/>
              </w:rPr>
              <w:t>SOURCE WORDING</w:t>
            </w:r>
          </w:p>
        </w:tc>
        <w:tc>
          <w:tcPr>
            <w:tcW w:type="dxa" w:w="6408"/>
            <w:vAlign w:val="top"/>
            <w:tcMar>
              <w:top w:w="75" w:type="dxa"/>
              <w:start w:w="90" w:type="dxa"/>
              <w:bottom w:w="75" w:type="dxa"/>
              <w:end w:w="90" w:type="dxa"/>
            </w:tcMar>
          </w:tcPr>
          <w:p>
            <w:r>
              <w:t>Kṛṣṇa brings forth a tīrtha by striking with his heel after killing the bull; Rādhā embraces him; a nearby tīrtha becomes famed by Rādhā’s name; bathing in Ariṣṭa- and Rādhā-kuṇḍas yields royal-sacrifice merit.</w:t>
            </w:r>
          </w:p>
        </w:tc>
      </w:tr>
      <w:tr>
        <w:trPr>
          <w:cantSplit/>
        </w:trPr>
        <w:tc>
          <w:tcPr>
            <w:tcW w:type="dxa" w:w="2232"/>
            <w:vAlign w:val="top"/>
            <w:tcMar>
              <w:top w:w="75" w:type="dxa"/>
              <w:start w:w="90" w:type="dxa"/>
              <w:bottom w:w="75" w:type="dxa"/>
              <w:end w:w="90" w:type="dxa"/>
            </w:tcMar>
            <w:shd w:fill="D9EAF7"/>
          </w:tcPr>
          <w:p>
            <w:r>
              <w:rPr>
                <w:b/>
                <w:color w:val="1F4D78"/>
              </w:rPr>
              <w:t>PHYSICAL SIGNAL</w:t>
            </w:r>
          </w:p>
        </w:tc>
        <w:tc>
          <w:tcPr>
            <w:tcW w:type="dxa" w:w="6408"/>
            <w:vAlign w:val="top"/>
            <w:tcMar>
              <w:top w:w="75" w:type="dxa"/>
              <w:start w:w="90" w:type="dxa"/>
              <w:bottom w:w="75" w:type="dxa"/>
              <w:end w:w="90" w:type="dxa"/>
            </w:tcMar>
          </w:tcPr>
          <w:p>
            <w:r>
              <w:t>A paired or adjacent sacred-water topology attached to Ariṣṭa’s death.</w:t>
            </w:r>
          </w:p>
        </w:tc>
      </w:tr>
      <w:tr>
        <w:trPr>
          <w:cantSplit/>
        </w:trPr>
        <w:tc>
          <w:tcPr>
            <w:tcW w:type="dxa" w:w="2232"/>
            <w:vAlign w:val="top"/>
            <w:tcMar>
              <w:top w:w="75" w:type="dxa"/>
              <w:start w:w="90" w:type="dxa"/>
              <w:bottom w:w="75" w:type="dxa"/>
              <w:end w:w="90" w:type="dxa"/>
            </w:tcMar>
            <w:shd w:fill="D9EAF7"/>
          </w:tcPr>
          <w:p>
            <w:r>
              <w:rPr>
                <w:b/>
                <w:color w:val="1F4D78"/>
              </w:rPr>
              <w:t>PROVES</w:t>
            </w:r>
          </w:p>
        </w:tc>
        <w:tc>
          <w:tcPr>
            <w:tcW w:type="dxa" w:w="6408"/>
            <w:vAlign w:val="top"/>
            <w:tcMar>
              <w:top w:w="75" w:type="dxa"/>
              <w:start w:w="90" w:type="dxa"/>
              <w:bottom w:w="75" w:type="dxa"/>
              <w:end w:w="90" w:type="dxa"/>
            </w:tcMar>
          </w:tcPr>
          <w:p>
            <w:r>
              <w:t>A demonstrable Varāha source core behind part of the later appearance tradition and Rūpa’s MM 418.</w:t>
            </w:r>
          </w:p>
        </w:tc>
      </w:tr>
      <w:tr>
        <w:trPr>
          <w:cantSplit/>
        </w:trPr>
        <w:tc>
          <w:tcPr>
            <w:tcW w:type="dxa" w:w="2232"/>
            <w:vAlign w:val="top"/>
            <w:tcMar>
              <w:top w:w="75" w:type="dxa"/>
              <w:start w:w="90" w:type="dxa"/>
              <w:bottom w:w="75" w:type="dxa"/>
              <w:end w:w="90" w:type="dxa"/>
            </w:tcMar>
            <w:shd w:fill="D9EAF7"/>
          </w:tcPr>
          <w:p>
            <w:r>
              <w:rPr>
                <w:b/>
                <w:color w:val="1F4D78"/>
              </w:rPr>
              <w:t>DOES NOT PROVE</w:t>
            </w:r>
          </w:p>
        </w:tc>
        <w:tc>
          <w:tcPr>
            <w:tcW w:type="dxa" w:w="6408"/>
            <w:vAlign w:val="top"/>
            <w:tcMar>
              <w:top w:w="75" w:type="dxa"/>
              <w:start w:w="90" w:type="dxa"/>
              <w:bottom w:w="75" w:type="dxa"/>
              <w:end w:w="90" w:type="dxa"/>
            </w:tcMar>
          </w:tcPr>
          <w:p>
            <w:r>
              <w:t>Does not contain the entire later twenty-verse account: no sakhīs’ hand-digging, Mānasa-gaṅgā plan, boundary breach, daily water play or same-night rāsa in this unit.</w:t>
            </w:r>
          </w:p>
        </w:tc>
      </w:tr>
      <w:tr>
        <w:trPr>
          <w:cantSplit/>
        </w:trPr>
        <w:tc>
          <w:tcPr>
            <w:tcW w:type="dxa" w:w="2232"/>
            <w:vAlign w:val="top"/>
            <w:tcMar>
              <w:top w:w="75" w:type="dxa"/>
              <w:start w:w="90" w:type="dxa"/>
              <w:bottom w:w="75" w:type="dxa"/>
              <w:end w:w="90" w:type="dxa"/>
            </w:tcMar>
            <w:shd w:fill="D9EAF7"/>
          </w:tcPr>
          <w:p>
            <w:r>
              <w:rPr>
                <w:b/>
                <w:color w:val="1F4D78"/>
              </w:rPr>
              <w:t>CONTROL STATUS</w:t>
            </w:r>
          </w:p>
        </w:tc>
        <w:tc>
          <w:tcPr>
            <w:tcW w:type="dxa" w:w="6408"/>
            <w:vAlign w:val="top"/>
            <w:tcMar>
              <w:top w:w="75" w:type="dxa"/>
              <w:start w:w="90" w:type="dxa"/>
              <w:bottom w:w="75" w:type="dxa"/>
              <w:end w:w="90" w:type="dxa"/>
            </w:tcMar>
          </w:tcPr>
          <w:p>
            <w:r>
              <w:t>HIGH for the inspected unit; edition numbering must always be supplied.</w:t>
            </w:r>
          </w:p>
        </w:tc>
      </w:tr>
    </w:tbl>
    <w:p>
      <w:pPr>
        <w:spacing w:after="100" w:line="252" w:lineRule="auto"/>
      </w:pPr>
    </w:p>
    <w:p>
      <w:pPr>
        <w:pStyle w:val="Heading3"/>
        <w:keepNext/>
      </w:pPr>
      <w:r>
        <w:t>P03 — Rūpa Gosvāmī, Mathurā-māhātmya 418</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75" w:type="dxa"/>
              <w:start w:w="90" w:type="dxa"/>
              <w:bottom w:w="75" w:type="dxa"/>
              <w:end w:w="90" w:type="dxa"/>
            </w:tcMar>
            <w:shd w:fill="D9EAF7"/>
          </w:tcPr>
          <w:p>
            <w:r>
              <w:rPr>
                <w:b/>
                <w:color w:val="1F4D78"/>
              </w:rPr>
              <w:t>LOCUS / WITNESS</w:t>
            </w:r>
          </w:p>
        </w:tc>
        <w:tc>
          <w:tcPr>
            <w:tcW w:type="dxa" w:w="6408"/>
            <w:vAlign w:val="top"/>
            <w:tcMar>
              <w:top w:w="75" w:type="dxa"/>
              <w:start w:w="90" w:type="dxa"/>
              <w:bottom w:w="75" w:type="dxa"/>
              <w:end w:w="90" w:type="dxa"/>
            </w:tcMar>
          </w:tcPr>
          <w:p>
            <w:r>
              <w:t>Mathurā-māhātmya 418, attributed there to Ādi-varāha; local DOCX and printed PDF inspected.</w:t>
            </w:r>
          </w:p>
        </w:tc>
      </w:tr>
      <w:tr>
        <w:trPr>
          <w:cantSplit/>
        </w:trPr>
        <w:tc>
          <w:tcPr>
            <w:tcW w:type="dxa" w:w="2232"/>
            <w:vAlign w:val="top"/>
            <w:tcMar>
              <w:top w:w="75" w:type="dxa"/>
              <w:start w:w="90" w:type="dxa"/>
              <w:bottom w:w="75" w:type="dxa"/>
              <w:end w:w="90" w:type="dxa"/>
            </w:tcMar>
            <w:shd w:fill="D9EAF7"/>
          </w:tcPr>
          <w:p>
            <w:r>
              <w:rPr>
                <w:b/>
                <w:color w:val="1F4D78"/>
              </w:rPr>
              <w:t>LAYER / GENRE</w:t>
            </w:r>
          </w:p>
        </w:tc>
        <w:tc>
          <w:tcPr>
            <w:tcW w:type="dxa" w:w="6408"/>
            <w:vAlign w:val="top"/>
            <w:tcMar>
              <w:top w:w="75" w:type="dxa"/>
              <w:start w:w="90" w:type="dxa"/>
              <w:bottom w:w="75" w:type="dxa"/>
              <w:end w:w="90" w:type="dxa"/>
            </w:tcMar>
          </w:tcPr>
          <w:p>
            <w:r>
              <w:t>A — Gosvāmī compilation citing Purāṇic authority.</w:t>
            </w:r>
          </w:p>
        </w:tc>
      </w:tr>
      <w:tr>
        <w:trPr>
          <w:cantSplit/>
        </w:trPr>
        <w:tc>
          <w:tcPr>
            <w:tcW w:type="dxa" w:w="2232"/>
            <w:vAlign w:val="top"/>
            <w:tcMar>
              <w:top w:w="75" w:type="dxa"/>
              <w:start w:w="90" w:type="dxa"/>
              <w:bottom w:w="75" w:type="dxa"/>
              <w:end w:w="90" w:type="dxa"/>
            </w:tcMar>
            <w:shd w:fill="D9EAF7"/>
          </w:tcPr>
          <w:p>
            <w:r>
              <w:rPr>
                <w:b/>
                <w:color w:val="1F4D78"/>
              </w:rPr>
              <w:t>SOURCE WORDING</w:t>
            </w:r>
          </w:p>
        </w:tc>
        <w:tc>
          <w:tcPr>
            <w:tcW w:type="dxa" w:w="6408"/>
            <w:vAlign w:val="top"/>
            <w:tcMar>
              <w:top w:w="75" w:type="dxa"/>
              <w:start w:w="90" w:type="dxa"/>
              <w:bottom w:w="75" w:type="dxa"/>
              <w:end w:w="90" w:type="dxa"/>
            </w:tcMar>
          </w:tcPr>
          <w:p>
            <w:r>
              <w:t>ariṣṭa-rādhā-kuṇḍābhyāṁ snānāt phalam avāpyate / rājasūyāśvamedhābhyāṁ nātra kāryā vicāraṇā — bathing in Ariṣṭa- and Rādhā-kuṇḍas obtains the fruit of the rājasūya and aśvamedha; no doubt need be entertained.</w:t>
            </w:r>
          </w:p>
        </w:tc>
      </w:tr>
      <w:tr>
        <w:trPr>
          <w:cantSplit/>
        </w:trPr>
        <w:tc>
          <w:tcPr>
            <w:tcW w:type="dxa" w:w="2232"/>
            <w:vAlign w:val="top"/>
            <w:tcMar>
              <w:top w:w="75" w:type="dxa"/>
              <w:start w:w="90" w:type="dxa"/>
              <w:bottom w:w="75" w:type="dxa"/>
              <w:end w:w="90" w:type="dxa"/>
            </w:tcMar>
            <w:shd w:fill="D9EAF7"/>
          </w:tcPr>
          <w:p>
            <w:r>
              <w:rPr>
                <w:b/>
                <w:color w:val="1F4D78"/>
              </w:rPr>
              <w:t>PHYSICAL SIGNAL</w:t>
            </w:r>
          </w:p>
        </w:tc>
        <w:tc>
          <w:tcPr>
            <w:tcW w:type="dxa" w:w="6408"/>
            <w:vAlign w:val="top"/>
            <w:tcMar>
              <w:top w:w="75" w:type="dxa"/>
              <w:start w:w="90" w:type="dxa"/>
              <w:bottom w:w="75" w:type="dxa"/>
              <w:end w:w="90" w:type="dxa"/>
            </w:tcMar>
          </w:tcPr>
          <w:p>
            <w:r>
              <w:t>Two named sacred bathing places treated as a pair.</w:t>
            </w:r>
          </w:p>
        </w:tc>
      </w:tr>
      <w:tr>
        <w:trPr>
          <w:cantSplit/>
        </w:trPr>
        <w:tc>
          <w:tcPr>
            <w:tcW w:type="dxa" w:w="2232"/>
            <w:vAlign w:val="top"/>
            <w:tcMar>
              <w:top w:w="75" w:type="dxa"/>
              <w:start w:w="90" w:type="dxa"/>
              <w:bottom w:w="75" w:type="dxa"/>
              <w:end w:w="90" w:type="dxa"/>
            </w:tcMar>
            <w:shd w:fill="D9EAF7"/>
          </w:tcPr>
          <w:p>
            <w:r>
              <w:rPr>
                <w:b/>
                <w:color w:val="1F4D78"/>
              </w:rPr>
              <w:t>PROVES</w:t>
            </w:r>
          </w:p>
        </w:tc>
        <w:tc>
          <w:tcPr>
            <w:tcW w:type="dxa" w:w="6408"/>
            <w:vAlign w:val="top"/>
            <w:tcMar>
              <w:top w:w="75" w:type="dxa"/>
              <w:start w:w="90" w:type="dxa"/>
              <w:bottom w:w="75" w:type="dxa"/>
              <w:end w:w="90" w:type="dxa"/>
            </w:tcMar>
          </w:tcPr>
          <w:p>
            <w:r>
              <w:t>Rūpa’s textual canonization of the paired tīrthas and the exact verse’s continuity with the extant Varāha unit.</w:t>
            </w:r>
          </w:p>
        </w:tc>
      </w:tr>
      <w:tr>
        <w:trPr>
          <w:cantSplit/>
        </w:trPr>
        <w:tc>
          <w:tcPr>
            <w:tcW w:type="dxa" w:w="2232"/>
            <w:vAlign w:val="top"/>
            <w:tcMar>
              <w:top w:w="75" w:type="dxa"/>
              <w:start w:w="90" w:type="dxa"/>
              <w:bottom w:w="75" w:type="dxa"/>
              <w:end w:w="90" w:type="dxa"/>
            </w:tcMar>
            <w:shd w:fill="D9EAF7"/>
          </w:tcPr>
          <w:p>
            <w:r>
              <w:rPr>
                <w:b/>
                <w:color w:val="1F4D78"/>
              </w:rPr>
              <w:t>DOES NOT PROVE</w:t>
            </w:r>
          </w:p>
        </w:tc>
        <w:tc>
          <w:tcPr>
            <w:tcW w:type="dxa" w:w="6408"/>
            <w:vAlign w:val="top"/>
            <w:tcMar>
              <w:top w:w="75" w:type="dxa"/>
              <w:start w:w="90" w:type="dxa"/>
              <w:bottom w:w="75" w:type="dxa"/>
              <w:end w:w="90" w:type="dxa"/>
            </w:tcMar>
          </w:tcPr>
          <w:p>
            <w:r>
              <w:t>No description of fields, water depth, village recognition, basin dimensions or works.</w:t>
            </w:r>
          </w:p>
        </w:tc>
      </w:tr>
      <w:tr>
        <w:trPr>
          <w:cantSplit/>
        </w:trPr>
        <w:tc>
          <w:tcPr>
            <w:tcW w:type="dxa" w:w="2232"/>
            <w:vAlign w:val="top"/>
            <w:tcMar>
              <w:top w:w="75" w:type="dxa"/>
              <w:start w:w="90" w:type="dxa"/>
              <w:bottom w:w="75" w:type="dxa"/>
              <w:end w:w="90" w:type="dxa"/>
            </w:tcMar>
            <w:shd w:fill="D9EAF7"/>
          </w:tcPr>
          <w:p>
            <w:r>
              <w:rPr>
                <w:b/>
                <w:color w:val="1F4D78"/>
              </w:rPr>
              <w:t>CONTROL STATUS</w:t>
            </w:r>
          </w:p>
        </w:tc>
        <w:tc>
          <w:tcPr>
            <w:tcW w:type="dxa" w:w="6408"/>
            <w:vAlign w:val="top"/>
            <w:tcMar>
              <w:top w:w="75" w:type="dxa"/>
              <w:start w:w="90" w:type="dxa"/>
              <w:bottom w:w="75" w:type="dxa"/>
              <w:end w:w="90" w:type="dxa"/>
            </w:tcMar>
          </w:tcPr>
          <w:p>
            <w:r>
              <w:t>HIGH; exact local text inspected and cross-witnessed.</w:t>
            </w:r>
          </w:p>
        </w:tc>
      </w:tr>
    </w:tbl>
    <w:p>
      <w:pPr>
        <w:spacing w:after="100" w:line="252" w:lineRule="auto"/>
      </w:pPr>
    </w:p>
    <w:p>
      <w:pPr>
        <w:pStyle w:val="Heading3"/>
        <w:keepNext/>
      </w:pPr>
      <w:r>
        <w:t>P04 — Mathurā-māhātmya 419–423: adjacent authority cluster</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75" w:type="dxa"/>
              <w:start w:w="90" w:type="dxa"/>
              <w:bottom w:w="75" w:type="dxa"/>
              <w:end w:w="90" w:type="dxa"/>
            </w:tcMar>
            <w:shd w:fill="D9EAF7"/>
          </w:tcPr>
          <w:p>
            <w:r>
              <w:rPr>
                <w:b/>
                <w:color w:val="1F4D78"/>
              </w:rPr>
              <w:t>LOCUS / WITNESS</w:t>
            </w:r>
          </w:p>
        </w:tc>
        <w:tc>
          <w:tcPr>
            <w:tcW w:type="dxa" w:w="6408"/>
            <w:vAlign w:val="top"/>
            <w:tcMar>
              <w:top w:w="75" w:type="dxa"/>
              <w:start w:w="90" w:type="dxa"/>
              <w:bottom w:w="75" w:type="dxa"/>
              <w:end w:w="90" w:type="dxa"/>
            </w:tcMar>
          </w:tcPr>
          <w:p>
            <w:r>
              <w:t>Mathurā-māhātmya 419–423; Mathurā-khaṇḍa and Padma/Kārttika-māhātmya attributions in Rūpa’s compilation.</w:t>
            </w:r>
          </w:p>
        </w:tc>
      </w:tr>
      <w:tr>
        <w:trPr>
          <w:cantSplit/>
        </w:trPr>
        <w:tc>
          <w:tcPr>
            <w:tcW w:type="dxa" w:w="2232"/>
            <w:vAlign w:val="top"/>
            <w:tcMar>
              <w:top w:w="75" w:type="dxa"/>
              <w:start w:w="90" w:type="dxa"/>
              <w:bottom w:w="75" w:type="dxa"/>
              <w:end w:w="90" w:type="dxa"/>
            </w:tcMar>
            <w:shd w:fill="D9EAF7"/>
          </w:tcPr>
          <w:p>
            <w:r>
              <w:rPr>
                <w:b/>
                <w:color w:val="1F4D78"/>
              </w:rPr>
              <w:t>LAYER / GENRE</w:t>
            </w:r>
          </w:p>
        </w:tc>
        <w:tc>
          <w:tcPr>
            <w:tcW w:type="dxa" w:w="6408"/>
            <w:vAlign w:val="top"/>
            <w:tcMar>
              <w:top w:w="75" w:type="dxa"/>
              <w:start w:w="90" w:type="dxa"/>
              <w:bottom w:w="75" w:type="dxa"/>
              <w:end w:w="90" w:type="dxa"/>
            </w:tcMar>
          </w:tcPr>
          <w:p>
            <w:r>
              <w:t>A — Gosvāmī tīrtha compilation with cited Purāṇic sources.</w:t>
            </w:r>
          </w:p>
        </w:tc>
      </w:tr>
      <w:tr>
        <w:trPr>
          <w:cantSplit/>
        </w:trPr>
        <w:tc>
          <w:tcPr>
            <w:tcW w:type="dxa" w:w="2232"/>
            <w:vAlign w:val="top"/>
            <w:tcMar>
              <w:top w:w="75" w:type="dxa"/>
              <w:start w:w="90" w:type="dxa"/>
              <w:bottom w:w="75" w:type="dxa"/>
              <w:end w:w="90" w:type="dxa"/>
            </w:tcMar>
            <w:shd w:fill="D9EAF7"/>
          </w:tcPr>
          <w:p>
            <w:r>
              <w:rPr>
                <w:b/>
                <w:color w:val="1F4D78"/>
              </w:rPr>
              <w:t>SOURCE WORDING</w:t>
            </w:r>
          </w:p>
        </w:tc>
        <w:tc>
          <w:tcPr>
            <w:tcW w:type="dxa" w:w="6408"/>
            <w:vAlign w:val="top"/>
            <w:tcMar>
              <w:top w:w="75" w:type="dxa"/>
              <w:start w:w="90" w:type="dxa"/>
              <w:bottom w:w="75" w:type="dxa"/>
              <w:end w:w="90" w:type="dxa"/>
            </w:tcMar>
          </w:tcPr>
          <w:p>
            <w:r>
              <w:t>The sequence praises bathing, proximity to Govardhana, Bahulāṣṭamī observance and the principle that Rādhā’s kuṇḍa is dear to Viṣṇu as Rādhā herself is dear.</w:t>
            </w:r>
          </w:p>
        </w:tc>
      </w:tr>
      <w:tr>
        <w:trPr>
          <w:cantSplit/>
        </w:trPr>
        <w:tc>
          <w:tcPr>
            <w:tcW w:type="dxa" w:w="2232"/>
            <w:vAlign w:val="top"/>
            <w:tcMar>
              <w:top w:w="75" w:type="dxa"/>
              <w:start w:w="90" w:type="dxa"/>
              <w:bottom w:w="75" w:type="dxa"/>
              <w:end w:w="90" w:type="dxa"/>
            </w:tcMar>
            <w:shd w:fill="D9EAF7"/>
          </w:tcPr>
          <w:p>
            <w:r>
              <w:rPr>
                <w:b/>
                <w:color w:val="1F4D78"/>
              </w:rPr>
              <w:t>PHYSICAL SIGNAL</w:t>
            </w:r>
          </w:p>
        </w:tc>
        <w:tc>
          <w:tcPr>
            <w:tcW w:type="dxa" w:w="6408"/>
            <w:vAlign w:val="top"/>
            <w:tcMar>
              <w:top w:w="75" w:type="dxa"/>
              <w:start w:w="90" w:type="dxa"/>
              <w:bottom w:w="75" w:type="dxa"/>
              <w:end w:w="90" w:type="dxa"/>
            </w:tcMar>
          </w:tcPr>
          <w:p>
            <w:r>
              <w:t>Ritual and relational sacred geography around Govardhana.</w:t>
            </w:r>
          </w:p>
        </w:tc>
      </w:tr>
      <w:tr>
        <w:trPr>
          <w:cantSplit/>
        </w:trPr>
        <w:tc>
          <w:tcPr>
            <w:tcW w:type="dxa" w:w="2232"/>
            <w:vAlign w:val="top"/>
            <w:tcMar>
              <w:top w:w="75" w:type="dxa"/>
              <w:start w:w="90" w:type="dxa"/>
              <w:bottom w:w="75" w:type="dxa"/>
              <w:end w:w="90" w:type="dxa"/>
            </w:tcMar>
            <w:shd w:fill="D9EAF7"/>
          </w:tcPr>
          <w:p>
            <w:r>
              <w:rPr>
                <w:b/>
                <w:color w:val="1F4D78"/>
              </w:rPr>
              <w:t>PROVES</w:t>
            </w:r>
          </w:p>
        </w:tc>
        <w:tc>
          <w:tcPr>
            <w:tcW w:type="dxa" w:w="6408"/>
            <w:vAlign w:val="top"/>
            <w:tcMar>
              <w:top w:w="75" w:type="dxa"/>
              <w:start w:w="90" w:type="dxa"/>
              <w:bottom w:w="75" w:type="dxa"/>
              <w:end w:w="90" w:type="dxa"/>
            </w:tcMar>
          </w:tcPr>
          <w:p>
            <w:r>
              <w:t>Early Gauḍīya scriptural framing of Rādhā-kuṇḍa’s rank and observance.</w:t>
            </w:r>
          </w:p>
        </w:tc>
      </w:tr>
      <w:tr>
        <w:trPr>
          <w:cantSplit/>
        </w:trPr>
        <w:tc>
          <w:tcPr>
            <w:tcW w:type="dxa" w:w="2232"/>
            <w:vAlign w:val="top"/>
            <w:tcMar>
              <w:top w:w="75" w:type="dxa"/>
              <w:start w:w="90" w:type="dxa"/>
              <w:bottom w:w="75" w:type="dxa"/>
              <w:end w:w="90" w:type="dxa"/>
            </w:tcMar>
            <w:shd w:fill="D9EAF7"/>
          </w:tcPr>
          <w:p>
            <w:r>
              <w:rPr>
                <w:b/>
                <w:color w:val="1F4D78"/>
              </w:rPr>
              <w:t>DOES NOT PROVE</w:t>
            </w:r>
          </w:p>
        </w:tc>
        <w:tc>
          <w:tcPr>
            <w:tcW w:type="dxa" w:w="6408"/>
            <w:vAlign w:val="top"/>
            <w:tcMar>
              <w:top w:w="75" w:type="dxa"/>
              <w:start w:w="90" w:type="dxa"/>
              <w:bottom w:w="75" w:type="dxa"/>
              <w:end w:w="90" w:type="dxa"/>
            </w:tcMar>
          </w:tcPr>
          <w:p>
            <w:r>
              <w:t>Cannot date the physical basins or identify a construction campaign.</w:t>
            </w:r>
          </w:p>
        </w:tc>
      </w:tr>
      <w:tr>
        <w:trPr>
          <w:cantSplit/>
        </w:trPr>
        <w:tc>
          <w:tcPr>
            <w:tcW w:type="dxa" w:w="2232"/>
            <w:vAlign w:val="top"/>
            <w:tcMar>
              <w:top w:w="75" w:type="dxa"/>
              <w:start w:w="90" w:type="dxa"/>
              <w:bottom w:w="75" w:type="dxa"/>
              <w:end w:w="90" w:type="dxa"/>
            </w:tcMar>
            <w:shd w:fill="D9EAF7"/>
          </w:tcPr>
          <w:p>
            <w:r>
              <w:rPr>
                <w:b/>
                <w:color w:val="1F4D78"/>
              </w:rPr>
              <w:t>CONTROL STATUS</w:t>
            </w:r>
          </w:p>
        </w:tc>
        <w:tc>
          <w:tcPr>
            <w:tcW w:type="dxa" w:w="6408"/>
            <w:vAlign w:val="top"/>
            <w:tcMar>
              <w:top w:w="75" w:type="dxa"/>
              <w:start w:w="90" w:type="dxa"/>
              <w:bottom w:w="75" w:type="dxa"/>
              <w:end w:w="90" w:type="dxa"/>
            </w:tcMar>
          </w:tcPr>
          <w:p>
            <w:r>
              <w:t>HIGH for Rūpa’s compilation; underlying cited editions still deserve critical collation.</w:t>
            </w:r>
          </w:p>
        </w:tc>
      </w:tr>
    </w:tbl>
    <w:p>
      <w:pPr>
        <w:spacing w:after="100" w:line="252" w:lineRule="auto"/>
      </w:pPr>
    </w:p>
    <w:p>
      <w:pPr>
        <w:pStyle w:val="Heading3"/>
        <w:keepNext/>
      </w:pPr>
      <w:r>
        <w:t>P05 — Viśvanātha’s twenty-verse appearance account</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75" w:type="dxa"/>
              <w:start w:w="90" w:type="dxa"/>
              <w:bottom w:w="75" w:type="dxa"/>
              <w:end w:w="90" w:type="dxa"/>
            </w:tcMar>
            <w:shd w:fill="D9EAF7"/>
          </w:tcPr>
          <w:p>
            <w:r>
              <w:rPr>
                <w:b/>
                <w:color w:val="1F4D78"/>
              </w:rPr>
              <w:t>LOCUS / WITNESS</w:t>
            </w:r>
          </w:p>
        </w:tc>
        <w:tc>
          <w:tcPr>
            <w:tcW w:type="dxa" w:w="6408"/>
            <w:vAlign w:val="top"/>
            <w:tcMar>
              <w:top w:w="75" w:type="dxa"/>
              <w:start w:w="90" w:type="dxa"/>
              <w:bottom w:w="75" w:type="dxa"/>
              <w:end w:w="90" w:type="dxa"/>
            </w:tcMar>
          </w:tcPr>
          <w:p>
            <w:r>
              <w:t>Sārārtha-darśinī on Bhāgavata 10.36; inspected Bhānu Swami English PDF pp.1113–1115 and a stable Sanskrit transcription. Witness placement varies between 10.36.15 and 10.36.16.</w:t>
            </w:r>
          </w:p>
        </w:tc>
      </w:tr>
      <w:tr>
        <w:trPr>
          <w:cantSplit/>
        </w:trPr>
        <w:tc>
          <w:tcPr>
            <w:tcW w:type="dxa" w:w="2232"/>
            <w:vAlign w:val="top"/>
            <w:tcMar>
              <w:top w:w="75" w:type="dxa"/>
              <w:start w:w="90" w:type="dxa"/>
              <w:bottom w:w="75" w:type="dxa"/>
              <w:end w:w="90" w:type="dxa"/>
            </w:tcMar>
            <w:shd w:fill="D9EAF7"/>
          </w:tcPr>
          <w:p>
            <w:r>
              <w:rPr>
                <w:b/>
                <w:color w:val="1F4D78"/>
              </w:rPr>
              <w:t>LAYER / GENRE</w:t>
            </w:r>
          </w:p>
        </w:tc>
        <w:tc>
          <w:tcPr>
            <w:tcW w:type="dxa" w:w="6408"/>
            <w:vAlign w:val="top"/>
            <w:tcMar>
              <w:top w:w="75" w:type="dxa"/>
              <w:start w:w="90" w:type="dxa"/>
              <w:bottom w:w="75" w:type="dxa"/>
              <w:end w:w="90" w:type="dxa"/>
            </w:tcMar>
          </w:tcPr>
          <w:p>
            <w:r>
              <w:t>A — later Gosvāmī/ācārya commentary transmitting Purāṇic narrative synthesis.</w:t>
            </w:r>
          </w:p>
        </w:tc>
      </w:tr>
      <w:tr>
        <w:trPr>
          <w:cantSplit/>
        </w:trPr>
        <w:tc>
          <w:tcPr>
            <w:tcW w:type="dxa" w:w="2232"/>
            <w:vAlign w:val="top"/>
            <w:tcMar>
              <w:top w:w="75" w:type="dxa"/>
              <w:start w:w="90" w:type="dxa"/>
              <w:bottom w:w="75" w:type="dxa"/>
              <w:end w:w="90" w:type="dxa"/>
            </w:tcMar>
            <w:shd w:fill="D9EAF7"/>
          </w:tcPr>
          <w:p>
            <w:r>
              <w:rPr>
                <w:b/>
                <w:color w:val="1F4D78"/>
              </w:rPr>
              <w:t>SOURCE WORDING</w:t>
            </w:r>
          </w:p>
        </w:tc>
        <w:tc>
          <w:tcPr>
            <w:tcW w:type="dxa" w:w="6408"/>
            <w:vAlign w:val="top"/>
            <w:tcMar>
              <w:top w:w="75" w:type="dxa"/>
              <w:start w:w="90" w:type="dxa"/>
              <w:bottom w:w="75" w:type="dxa"/>
              <w:end w:w="90" w:type="dxa"/>
            </w:tcMar>
          </w:tcPr>
          <w:p>
            <w:r>
              <w:t>Rādhā refuses Kṛṣṇa after bull-killing; he creates his kuṇḍa by heel-strike and summons tīrthas. The sakhīs dig westward in Ariṣṭa’s hoof-depression, plan to carry water from Mānasa-gaṅgā, and the tīrthas enter after breaking the boundary; mutual praises and rāsa follow.</w:t>
            </w:r>
          </w:p>
        </w:tc>
      </w:tr>
      <w:tr>
        <w:trPr>
          <w:cantSplit/>
        </w:trPr>
        <w:tc>
          <w:tcPr>
            <w:tcW w:type="dxa" w:w="2232"/>
            <w:vAlign w:val="top"/>
            <w:tcMar>
              <w:top w:w="75" w:type="dxa"/>
              <w:start w:w="90" w:type="dxa"/>
              <w:bottom w:w="75" w:type="dxa"/>
              <w:end w:w="90" w:type="dxa"/>
            </w:tcMar>
            <w:shd w:fill="D9EAF7"/>
          </w:tcPr>
          <w:p>
            <w:r>
              <w:rPr>
                <w:b/>
                <w:color w:val="1F4D78"/>
              </w:rPr>
              <w:t>PHYSICAL SIGNAL</w:t>
            </w:r>
          </w:p>
        </w:tc>
        <w:tc>
          <w:tcPr>
            <w:tcW w:type="dxa" w:w="6408"/>
            <w:vAlign w:val="top"/>
            <w:tcMar>
              <w:top w:w="75" w:type="dxa"/>
              <w:start w:w="90" w:type="dxa"/>
              <w:bottom w:w="75" w:type="dxa"/>
              <w:end w:w="90" w:type="dxa"/>
            </w:tcMar>
          </w:tcPr>
          <w:p>
            <w:r>
              <w:t>Detailed idealized formation sequence and west/east relational topology.</w:t>
            </w:r>
          </w:p>
        </w:tc>
      </w:tr>
      <w:tr>
        <w:trPr>
          <w:cantSplit/>
        </w:trPr>
        <w:tc>
          <w:tcPr>
            <w:tcW w:type="dxa" w:w="2232"/>
            <w:vAlign w:val="top"/>
            <w:tcMar>
              <w:top w:w="75" w:type="dxa"/>
              <w:start w:w="90" w:type="dxa"/>
              <w:bottom w:w="75" w:type="dxa"/>
              <w:end w:w="90" w:type="dxa"/>
            </w:tcMar>
            <w:shd w:fill="D9EAF7"/>
          </w:tcPr>
          <w:p>
            <w:r>
              <w:rPr>
                <w:b/>
                <w:color w:val="1F4D78"/>
              </w:rPr>
              <w:t>PROVES</w:t>
            </w:r>
          </w:p>
        </w:tc>
        <w:tc>
          <w:tcPr>
            <w:tcW w:type="dxa" w:w="6408"/>
            <w:vAlign w:val="top"/>
            <w:tcMar>
              <w:top w:w="75" w:type="dxa"/>
              <w:start w:w="90" w:type="dxa"/>
              <w:bottom w:w="75" w:type="dxa"/>
              <w:end w:w="90" w:type="dxa"/>
            </w:tcMar>
          </w:tcPr>
          <w:p>
            <w:r>
              <w:t>A mature sacred appearance narrative known in Viśvanātha’s commentary tradition.</w:t>
            </w:r>
          </w:p>
        </w:tc>
      </w:tr>
      <w:tr>
        <w:trPr>
          <w:cantSplit/>
        </w:trPr>
        <w:tc>
          <w:tcPr>
            <w:tcW w:type="dxa" w:w="2232"/>
            <w:vAlign w:val="top"/>
            <w:tcMar>
              <w:top w:w="75" w:type="dxa"/>
              <w:start w:w="90" w:type="dxa"/>
              <w:bottom w:w="75" w:type="dxa"/>
              <w:end w:w="90" w:type="dxa"/>
            </w:tcMar>
            <w:shd w:fill="D9EAF7"/>
          </w:tcPr>
          <w:p>
            <w:r>
              <w:rPr>
                <w:b/>
                <w:color w:val="1F4D78"/>
              </w:rPr>
              <w:t>DOES NOT PROVE</w:t>
            </w:r>
          </w:p>
        </w:tc>
        <w:tc>
          <w:tcPr>
            <w:tcW w:type="dxa" w:w="6408"/>
            <w:vAlign w:val="top"/>
            <w:tcMar>
              <w:top w:w="75" w:type="dxa"/>
              <w:start w:w="90" w:type="dxa"/>
              <w:bottom w:w="75" w:type="dxa"/>
              <w:end w:w="90" w:type="dxa"/>
            </w:tcMar>
          </w:tcPr>
          <w:p>
            <w:r>
              <w:t>Not an eyewitness topographic report and not yet traceable, verse by verse, to one identified Purāṇa source.</w:t>
            </w:r>
          </w:p>
        </w:tc>
      </w:tr>
      <w:tr>
        <w:trPr>
          <w:cantSplit/>
        </w:trPr>
        <w:tc>
          <w:tcPr>
            <w:tcW w:type="dxa" w:w="2232"/>
            <w:vAlign w:val="top"/>
            <w:tcMar>
              <w:top w:w="75" w:type="dxa"/>
              <w:start w:w="90" w:type="dxa"/>
              <w:bottom w:w="75" w:type="dxa"/>
              <w:end w:w="90" w:type="dxa"/>
            </w:tcMar>
            <w:shd w:fill="D9EAF7"/>
          </w:tcPr>
          <w:p>
            <w:r>
              <w:rPr>
                <w:b/>
                <w:color w:val="1F4D78"/>
              </w:rPr>
              <w:t>CONTROL STATUS</w:t>
            </w:r>
          </w:p>
        </w:tc>
        <w:tc>
          <w:tcPr>
            <w:tcW w:type="dxa" w:w="6408"/>
            <w:vAlign w:val="top"/>
            <w:tcMar>
              <w:top w:w="75" w:type="dxa"/>
              <w:start w:w="90" w:type="dxa"/>
              <w:bottom w:w="75" w:type="dxa"/>
              <w:end w:w="90" w:type="dxa"/>
            </w:tcMar>
          </w:tcPr>
          <w:p>
            <w:r>
              <w:t>HIGH for the commentary witness; MEDIUM for the asserted composite Purāṇic provenance.</w:t>
            </w:r>
          </w:p>
        </w:tc>
      </w:tr>
    </w:tbl>
    <w:p>
      <w:pPr>
        <w:spacing w:after="100" w:line="252" w:lineRule="auto"/>
      </w:pPr>
    </w:p>
    <w:p>
      <w:pPr>
        <w:pStyle w:val="Heading3"/>
        <w:keepNext/>
      </w:pPr>
      <w:r>
        <w:t>P06 — Caitanya-caritāmṛta Madhya 18.3–5: controlling early physical description</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75" w:type="dxa"/>
              <w:start w:w="90" w:type="dxa"/>
              <w:bottom w:w="75" w:type="dxa"/>
              <w:end w:w="90" w:type="dxa"/>
            </w:tcMar>
            <w:shd w:fill="D9EAF7"/>
          </w:tcPr>
          <w:p>
            <w:r>
              <w:rPr>
                <w:b/>
                <w:color w:val="1F4D78"/>
              </w:rPr>
              <w:t>LOCUS / WITNESS</w:t>
            </w:r>
          </w:p>
        </w:tc>
        <w:tc>
          <w:tcPr>
            <w:tcW w:type="dxa" w:w="6408"/>
            <w:vAlign w:val="top"/>
            <w:tcMar>
              <w:top w:w="75" w:type="dxa"/>
              <w:start w:w="90" w:type="dxa"/>
              <w:bottom w:w="75" w:type="dxa"/>
              <w:end w:w="90" w:type="dxa"/>
            </w:tcMar>
          </w:tcPr>
          <w:p>
            <w:r>
              <w:t>Kṛṣṇadāsa Kavirāja, Caitanya-caritāmṛta, Madhya 18.3–5; Bengali, transliteration and translation rechecked online.</w:t>
            </w:r>
          </w:p>
        </w:tc>
      </w:tr>
      <w:tr>
        <w:trPr>
          <w:cantSplit/>
        </w:trPr>
        <w:tc>
          <w:tcPr>
            <w:tcW w:type="dxa" w:w="2232"/>
            <w:vAlign w:val="top"/>
            <w:tcMar>
              <w:top w:w="75" w:type="dxa"/>
              <w:start w:w="90" w:type="dxa"/>
              <w:bottom w:w="75" w:type="dxa"/>
              <w:end w:w="90" w:type="dxa"/>
            </w:tcMar>
            <w:shd w:fill="D9EAF7"/>
          </w:tcPr>
          <w:p>
            <w:r>
              <w:rPr>
                <w:b/>
                <w:color w:val="1F4D78"/>
              </w:rPr>
              <w:t>LAYER / GENRE</w:t>
            </w:r>
          </w:p>
        </w:tc>
        <w:tc>
          <w:tcPr>
            <w:tcW w:type="dxa" w:w="6408"/>
            <w:vAlign w:val="top"/>
            <w:tcMar>
              <w:top w:w="75" w:type="dxa"/>
              <w:start w:w="90" w:type="dxa"/>
              <w:bottom w:w="75" w:type="dxa"/>
              <w:end w:w="90" w:type="dxa"/>
            </w:tcMar>
          </w:tcPr>
          <w:p>
            <w:r>
              <w:t>A — Gosvāmī-era hagiography; retrospective report of Mahāprabhu’s visit.</w:t>
            </w:r>
          </w:p>
        </w:tc>
      </w:tr>
      <w:tr>
        <w:trPr>
          <w:cantSplit/>
        </w:trPr>
        <w:tc>
          <w:tcPr>
            <w:tcW w:type="dxa" w:w="2232"/>
            <w:vAlign w:val="top"/>
            <w:tcMar>
              <w:top w:w="75" w:type="dxa"/>
              <w:start w:w="90" w:type="dxa"/>
              <w:bottom w:w="75" w:type="dxa"/>
              <w:end w:w="90" w:type="dxa"/>
            </w:tcMar>
            <w:shd w:fill="D9EAF7"/>
          </w:tcPr>
          <w:p>
            <w:r>
              <w:rPr>
                <w:b/>
                <w:color w:val="1F4D78"/>
              </w:rPr>
              <w:t>SOURCE WORDING</w:t>
            </w:r>
          </w:p>
        </w:tc>
        <w:tc>
          <w:tcPr>
            <w:tcW w:type="dxa" w:w="6408"/>
            <w:vAlign w:val="top"/>
            <w:tcMar>
              <w:top w:w="75" w:type="dxa"/>
              <w:start w:w="90" w:type="dxa"/>
              <w:bottom w:w="75" w:type="dxa"/>
              <w:end w:w="90" w:type="dxa"/>
            </w:tcMar>
          </w:tcPr>
          <w:p>
            <w:r>
              <w:t>Mahāprabhu came to āriṭ-grāma. Local people and the accompanying brāhmaṇa could not identify the tīrtha. Knowing it as lupta, he bathed: dui dhānya-kṣetre alpa-jale—‘in a little water in two paddy fields.’</w:t>
            </w:r>
          </w:p>
        </w:tc>
      </w:tr>
      <w:tr>
        <w:trPr>
          <w:cantSplit/>
        </w:trPr>
        <w:tc>
          <w:tcPr>
            <w:tcW w:type="dxa" w:w="2232"/>
            <w:vAlign w:val="top"/>
            <w:tcMar>
              <w:top w:w="75" w:type="dxa"/>
              <w:start w:w="90" w:type="dxa"/>
              <w:bottom w:w="75" w:type="dxa"/>
              <w:end w:w="90" w:type="dxa"/>
            </w:tcMar>
            <w:shd w:fill="D9EAF7"/>
          </w:tcPr>
          <w:p>
            <w:r>
              <w:rPr>
                <w:b/>
                <w:color w:val="1F4D78"/>
              </w:rPr>
              <w:t>PHYSICAL SIGNAL</w:t>
            </w:r>
          </w:p>
        </w:tc>
        <w:tc>
          <w:tcPr>
            <w:tcW w:type="dxa" w:w="6408"/>
            <w:vAlign w:val="top"/>
            <w:tcMar>
              <w:top w:w="75" w:type="dxa"/>
              <w:start w:w="90" w:type="dxa"/>
              <w:bottom w:w="75" w:type="dxa"/>
              <w:end w:w="90" w:type="dxa"/>
            </w:tcMar>
          </w:tcPr>
          <w:p>
            <w:r>
              <w:t>Inhabited village; two cultivated paddy plots/fields; shallow or limited water; obscured local identification.</w:t>
            </w:r>
          </w:p>
        </w:tc>
      </w:tr>
      <w:tr>
        <w:trPr>
          <w:cantSplit/>
        </w:trPr>
        <w:tc>
          <w:tcPr>
            <w:tcW w:type="dxa" w:w="2232"/>
            <w:vAlign w:val="top"/>
            <w:tcMar>
              <w:top w:w="75" w:type="dxa"/>
              <w:start w:w="90" w:type="dxa"/>
              <w:bottom w:w="75" w:type="dxa"/>
              <w:end w:w="90" w:type="dxa"/>
            </w:tcMar>
            <w:shd w:fill="D9EAF7"/>
          </w:tcPr>
          <w:p>
            <w:r>
              <w:rPr>
                <w:b/>
                <w:color w:val="1F4D78"/>
              </w:rPr>
              <w:t>PROVES</w:t>
            </w:r>
          </w:p>
        </w:tc>
        <w:tc>
          <w:tcPr>
            <w:tcW w:type="dxa" w:w="6408"/>
            <w:vAlign w:val="top"/>
            <w:tcMar>
              <w:top w:w="75" w:type="dxa"/>
              <w:start w:w="90" w:type="dxa"/>
              <w:bottom w:w="75" w:type="dxa"/>
              <w:end w:w="90" w:type="dxa"/>
            </w:tcMar>
          </w:tcPr>
          <w:p>
            <w:r>
              <w:t>The best early historical-textual basis for a cultivated, water-bearing pre-development setting and Gauḍīya reidentification.</w:t>
            </w:r>
          </w:p>
        </w:tc>
      </w:tr>
      <w:tr>
        <w:trPr>
          <w:cantSplit/>
        </w:trPr>
        <w:tc>
          <w:tcPr>
            <w:tcW w:type="dxa" w:w="2232"/>
            <w:vAlign w:val="top"/>
            <w:tcMar>
              <w:top w:w="75" w:type="dxa"/>
              <w:start w:w="90" w:type="dxa"/>
              <w:bottom w:w="75" w:type="dxa"/>
              <w:end w:w="90" w:type="dxa"/>
            </w:tcMar>
            <w:shd w:fill="D9EAF7"/>
          </w:tcPr>
          <w:p>
            <w:r>
              <w:rPr>
                <w:b/>
                <w:color w:val="1F4D78"/>
              </w:rPr>
              <w:t>DOES NOT PROVE</w:t>
            </w:r>
          </w:p>
        </w:tc>
        <w:tc>
          <w:tcPr>
            <w:tcW w:type="dxa" w:w="6408"/>
            <w:vAlign w:val="top"/>
            <w:tcMar>
              <w:top w:w="75" w:type="dxa"/>
              <w:start w:w="90" w:type="dxa"/>
              <w:bottom w:w="75" w:type="dxa"/>
              <w:end w:w="90" w:type="dxa"/>
            </w:tcMar>
          </w:tcPr>
          <w:p>
            <w:r>
              <w:t>Does not say the basins were dry, nonexistent, newly constructed, geometrically defined or universally forgotten beyond the immediate encounter.</w:t>
            </w:r>
          </w:p>
        </w:tc>
      </w:tr>
      <w:tr>
        <w:trPr>
          <w:cantSplit/>
        </w:trPr>
        <w:tc>
          <w:tcPr>
            <w:tcW w:type="dxa" w:w="2232"/>
            <w:vAlign w:val="top"/>
            <w:tcMar>
              <w:top w:w="75" w:type="dxa"/>
              <w:start w:w="90" w:type="dxa"/>
              <w:bottom w:w="75" w:type="dxa"/>
              <w:end w:w="90" w:type="dxa"/>
            </w:tcMar>
            <w:shd w:fill="D9EAF7"/>
          </w:tcPr>
          <w:p>
            <w:r>
              <w:rPr>
                <w:b/>
                <w:color w:val="1F4D78"/>
              </w:rPr>
              <w:t>CONTROL STATUS</w:t>
            </w:r>
          </w:p>
        </w:tc>
        <w:tc>
          <w:tcPr>
            <w:tcW w:type="dxa" w:w="6408"/>
            <w:vAlign w:val="top"/>
            <w:tcMar>
              <w:top w:w="75" w:type="dxa"/>
              <w:start w:w="90" w:type="dxa"/>
              <w:bottom w:w="75" w:type="dxa"/>
              <w:end w:w="90" w:type="dxa"/>
            </w:tcMar>
          </w:tcPr>
          <w:p>
            <w:r>
              <w:t>HIGH as an A-layer controlling witness; composition postdates the visit.</w:t>
            </w:r>
          </w:p>
        </w:tc>
      </w:tr>
    </w:tbl>
    <w:p>
      <w:pPr>
        <w:spacing w:after="100" w:line="252" w:lineRule="auto"/>
      </w:pPr>
    </w:p>
    <w:p>
      <w:pPr>
        <w:pStyle w:val="Heading3"/>
        <w:keepNext/>
      </w:pPr>
      <w:r>
        <w:t>P07 — Caitanya-caritāmṛta Madhya 18.6–15: ritual activation, not engineering</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75" w:type="dxa"/>
              <w:start w:w="90" w:type="dxa"/>
              <w:bottom w:w="75" w:type="dxa"/>
              <w:end w:w="90" w:type="dxa"/>
            </w:tcMar>
            <w:shd w:fill="D9EAF7"/>
          </w:tcPr>
          <w:p>
            <w:r>
              <w:rPr>
                <w:b/>
                <w:color w:val="1F4D78"/>
              </w:rPr>
              <w:t>LOCUS / WITNESS</w:t>
            </w:r>
          </w:p>
        </w:tc>
        <w:tc>
          <w:tcPr>
            <w:tcW w:type="dxa" w:w="6408"/>
            <w:vAlign w:val="top"/>
            <w:tcMar>
              <w:top w:w="75" w:type="dxa"/>
              <w:start w:w="90" w:type="dxa"/>
              <w:bottom w:w="75" w:type="dxa"/>
              <w:end w:w="90" w:type="dxa"/>
            </w:tcMar>
          </w:tcPr>
          <w:p>
            <w:r>
              <w:t>Caitanya-caritāmṛta, Madhya 18.6–15.</w:t>
            </w:r>
          </w:p>
        </w:tc>
      </w:tr>
      <w:tr>
        <w:trPr>
          <w:cantSplit/>
        </w:trPr>
        <w:tc>
          <w:tcPr>
            <w:tcW w:type="dxa" w:w="2232"/>
            <w:vAlign w:val="top"/>
            <w:tcMar>
              <w:top w:w="75" w:type="dxa"/>
              <w:start w:w="90" w:type="dxa"/>
              <w:bottom w:w="75" w:type="dxa"/>
              <w:end w:w="90" w:type="dxa"/>
            </w:tcMar>
            <w:shd w:fill="D9EAF7"/>
          </w:tcPr>
          <w:p>
            <w:r>
              <w:rPr>
                <w:b/>
                <w:color w:val="1F4D78"/>
              </w:rPr>
              <w:t>LAYER / GENRE</w:t>
            </w:r>
          </w:p>
        </w:tc>
        <w:tc>
          <w:tcPr>
            <w:tcW w:type="dxa" w:w="6408"/>
            <w:vAlign w:val="top"/>
            <w:tcMar>
              <w:top w:w="75" w:type="dxa"/>
              <w:start w:w="90" w:type="dxa"/>
              <w:bottom w:w="75" w:type="dxa"/>
              <w:end w:w="90" w:type="dxa"/>
            </w:tcMar>
          </w:tcPr>
          <w:p>
            <w:r>
              <w:t>A — Gosvāmī-era hagiography and tīrtha theology.</w:t>
            </w:r>
          </w:p>
        </w:tc>
      </w:tr>
      <w:tr>
        <w:trPr>
          <w:cantSplit/>
        </w:trPr>
        <w:tc>
          <w:tcPr>
            <w:tcW w:type="dxa" w:w="2232"/>
            <w:vAlign w:val="top"/>
            <w:tcMar>
              <w:top w:w="75" w:type="dxa"/>
              <w:start w:w="90" w:type="dxa"/>
              <w:bottom w:w="75" w:type="dxa"/>
              <w:end w:w="90" w:type="dxa"/>
            </w:tcMar>
            <w:shd w:fill="D9EAF7"/>
          </w:tcPr>
          <w:p>
            <w:r>
              <w:rPr>
                <w:b/>
                <w:color w:val="1F4D78"/>
              </w:rPr>
              <w:t>SOURCE WORDING</w:t>
            </w:r>
          </w:p>
        </w:tc>
        <w:tc>
          <w:tcPr>
            <w:tcW w:type="dxa" w:w="6408"/>
            <w:vAlign w:val="top"/>
            <w:tcMar>
              <w:top w:w="75" w:type="dxa"/>
              <w:start w:w="90" w:type="dxa"/>
              <w:bottom w:w="75" w:type="dxa"/>
              <w:end w:w="90" w:type="dxa"/>
            </w:tcMar>
          </w:tcPr>
          <w:p>
            <w:r>
              <w:t>Mahāprabhu bathes, praises the kuṇḍa, invokes Rādhā-Kṛṣṇa’s eternal pastimes, dances, marks his body with the mud and takes some earth; he then continues his route.</w:t>
            </w:r>
          </w:p>
        </w:tc>
      </w:tr>
      <w:tr>
        <w:trPr>
          <w:cantSplit/>
        </w:trPr>
        <w:tc>
          <w:tcPr>
            <w:tcW w:type="dxa" w:w="2232"/>
            <w:vAlign w:val="top"/>
            <w:tcMar>
              <w:top w:w="75" w:type="dxa"/>
              <w:start w:w="90" w:type="dxa"/>
              <w:bottom w:w="75" w:type="dxa"/>
              <w:end w:w="90" w:type="dxa"/>
            </w:tcMar>
            <w:shd w:fill="D9EAF7"/>
          </w:tcPr>
          <w:p>
            <w:r>
              <w:rPr>
                <w:b/>
                <w:color w:val="1F4D78"/>
              </w:rPr>
              <w:t>PHYSICAL SIGNAL</w:t>
            </w:r>
          </w:p>
        </w:tc>
        <w:tc>
          <w:tcPr>
            <w:tcW w:type="dxa" w:w="6408"/>
            <w:vAlign w:val="top"/>
            <w:tcMar>
              <w:top w:w="75" w:type="dxa"/>
              <w:start w:w="90" w:type="dxa"/>
              <w:bottom w:w="75" w:type="dxa"/>
              <w:end w:w="90" w:type="dxa"/>
            </w:tcMar>
          </w:tcPr>
          <w:p>
            <w:r>
              <w:t>Bathable water/mud, portable earth and immediate devotional practice.</w:t>
            </w:r>
          </w:p>
        </w:tc>
      </w:tr>
      <w:tr>
        <w:trPr>
          <w:cantSplit/>
        </w:trPr>
        <w:tc>
          <w:tcPr>
            <w:tcW w:type="dxa" w:w="2232"/>
            <w:vAlign w:val="top"/>
            <w:tcMar>
              <w:top w:w="75" w:type="dxa"/>
              <w:start w:w="90" w:type="dxa"/>
              <w:bottom w:w="75" w:type="dxa"/>
              <w:end w:w="90" w:type="dxa"/>
            </w:tcMar>
            <w:shd w:fill="D9EAF7"/>
          </w:tcPr>
          <w:p>
            <w:r>
              <w:rPr>
                <w:b/>
                <w:color w:val="1F4D78"/>
              </w:rPr>
              <w:t>PROVES</w:t>
            </w:r>
          </w:p>
        </w:tc>
        <w:tc>
          <w:tcPr>
            <w:tcW w:type="dxa" w:w="6408"/>
            <w:vAlign w:val="top"/>
            <w:tcMar>
              <w:top w:w="75" w:type="dxa"/>
              <w:start w:w="90" w:type="dxa"/>
              <w:bottom w:w="75" w:type="dxa"/>
              <w:end w:w="90" w:type="dxa"/>
            </w:tcMar>
          </w:tcPr>
          <w:p>
            <w:r>
              <w:t>Recognition and ritual activation of the site within Gauḍīya pilgrimage memory.</w:t>
            </w:r>
          </w:p>
        </w:tc>
      </w:tr>
      <w:tr>
        <w:trPr>
          <w:cantSplit/>
        </w:trPr>
        <w:tc>
          <w:tcPr>
            <w:tcW w:type="dxa" w:w="2232"/>
            <w:vAlign w:val="top"/>
            <w:tcMar>
              <w:top w:w="75" w:type="dxa"/>
              <w:start w:w="90" w:type="dxa"/>
              <w:bottom w:w="75" w:type="dxa"/>
              <w:end w:w="90" w:type="dxa"/>
            </w:tcMar>
            <w:shd w:fill="D9EAF7"/>
          </w:tcPr>
          <w:p>
            <w:r>
              <w:rPr>
                <w:b/>
                <w:color w:val="1F4D78"/>
              </w:rPr>
              <w:t>DOES NOT PROVE</w:t>
            </w:r>
          </w:p>
        </w:tc>
        <w:tc>
          <w:tcPr>
            <w:tcW w:type="dxa" w:w="6408"/>
            <w:vAlign w:val="top"/>
            <w:tcMar>
              <w:top w:w="75" w:type="dxa"/>
              <w:start w:w="90" w:type="dxa"/>
              <w:bottom w:w="75" w:type="dxa"/>
              <w:end w:w="90" w:type="dxa"/>
            </w:tcMar>
          </w:tcPr>
          <w:p>
            <w:r>
              <w:t>No excavation order, labour force, embankment, masonry, measured pond or legal acquisition is described.</w:t>
            </w:r>
          </w:p>
        </w:tc>
      </w:tr>
      <w:tr>
        <w:trPr>
          <w:cantSplit/>
        </w:trPr>
        <w:tc>
          <w:tcPr>
            <w:tcW w:type="dxa" w:w="2232"/>
            <w:vAlign w:val="top"/>
            <w:tcMar>
              <w:top w:w="75" w:type="dxa"/>
              <w:start w:w="90" w:type="dxa"/>
              <w:bottom w:w="75" w:type="dxa"/>
              <w:end w:w="90" w:type="dxa"/>
            </w:tcMar>
            <w:shd w:fill="D9EAF7"/>
          </w:tcPr>
          <w:p>
            <w:r>
              <w:rPr>
                <w:b/>
                <w:color w:val="1F4D78"/>
              </w:rPr>
              <w:t>CONTROL STATUS</w:t>
            </w:r>
          </w:p>
        </w:tc>
        <w:tc>
          <w:tcPr>
            <w:tcW w:type="dxa" w:w="6408"/>
            <w:vAlign w:val="top"/>
            <w:tcMar>
              <w:top w:w="75" w:type="dxa"/>
              <w:start w:w="90" w:type="dxa"/>
              <w:bottom w:w="75" w:type="dxa"/>
              <w:end w:w="90" w:type="dxa"/>
            </w:tcMar>
          </w:tcPr>
          <w:p>
            <w:r>
              <w:t>HIGH; should not be paraphrased as a construction account.</w:t>
            </w:r>
          </w:p>
        </w:tc>
      </w:tr>
    </w:tbl>
    <w:p>
      <w:pPr>
        <w:spacing w:after="100" w:line="252" w:lineRule="auto"/>
      </w:pPr>
    </w:p>
    <w:p>
      <w:pPr>
        <w:pStyle w:val="Heading3"/>
        <w:keepNext/>
      </w:pPr>
      <w:r>
        <w:t>P08 — Govinda-līlāmṛta Sarga 7: nitya-līlā spatial control</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75" w:type="dxa"/>
              <w:start w:w="90" w:type="dxa"/>
              <w:bottom w:w="75" w:type="dxa"/>
              <w:end w:w="90" w:type="dxa"/>
            </w:tcMar>
            <w:shd w:fill="D9EAF7"/>
          </w:tcPr>
          <w:p>
            <w:r>
              <w:rPr>
                <w:b/>
                <w:color w:val="1F4D78"/>
              </w:rPr>
              <w:t>LOCUS / WITNESS</w:t>
            </w:r>
          </w:p>
        </w:tc>
        <w:tc>
          <w:tcPr>
            <w:tcW w:type="dxa" w:w="6408"/>
            <w:vAlign w:val="top"/>
            <w:tcMar>
              <w:top w:w="75" w:type="dxa"/>
              <w:start w:w="90" w:type="dxa"/>
              <w:bottom w:w="75" w:type="dxa"/>
              <w:end w:w="90" w:type="dxa"/>
            </w:tcMar>
          </w:tcPr>
          <w:p>
            <w:r>
              <w:t>Kṛṣṇadāsa Kavirāja, Govinda-līlāmṛta 7.1–6, 7.24–27 and following; local mūla text inspected.</w:t>
            </w:r>
          </w:p>
        </w:tc>
      </w:tr>
      <w:tr>
        <w:trPr>
          <w:cantSplit/>
        </w:trPr>
        <w:tc>
          <w:tcPr>
            <w:tcW w:type="dxa" w:w="2232"/>
            <w:vAlign w:val="top"/>
            <w:tcMar>
              <w:top w:w="75" w:type="dxa"/>
              <w:start w:w="90" w:type="dxa"/>
              <w:bottom w:w="75" w:type="dxa"/>
              <w:end w:w="90" w:type="dxa"/>
            </w:tcMar>
            <w:shd w:fill="D9EAF7"/>
          </w:tcPr>
          <w:p>
            <w:r>
              <w:rPr>
                <w:b/>
                <w:color w:val="1F4D78"/>
              </w:rPr>
              <w:t>LAYER / GENRE</w:t>
            </w:r>
          </w:p>
        </w:tc>
        <w:tc>
          <w:tcPr>
            <w:tcW w:type="dxa" w:w="6408"/>
            <w:vAlign w:val="top"/>
            <w:tcMar>
              <w:top w:w="75" w:type="dxa"/>
              <w:start w:w="90" w:type="dxa"/>
              <w:bottom w:w="75" w:type="dxa"/>
              <w:end w:w="90" w:type="dxa"/>
            </w:tcMar>
          </w:tcPr>
          <w:p>
            <w:r>
              <w:t>A — Gosvāmī nitya-līlā literature, not documentary topography.</w:t>
            </w:r>
          </w:p>
        </w:tc>
      </w:tr>
      <w:tr>
        <w:trPr>
          <w:cantSplit/>
        </w:trPr>
        <w:tc>
          <w:tcPr>
            <w:tcW w:type="dxa" w:w="2232"/>
            <w:vAlign w:val="top"/>
            <w:tcMar>
              <w:top w:w="75" w:type="dxa"/>
              <w:start w:w="90" w:type="dxa"/>
              <w:bottom w:w="75" w:type="dxa"/>
              <w:end w:w="90" w:type="dxa"/>
            </w:tcMar>
            <w:shd w:fill="D9EAF7"/>
          </w:tcPr>
          <w:p>
            <w:r>
              <w:rPr>
                <w:b/>
                <w:color w:val="1F4D78"/>
              </w:rPr>
              <w:t>SOURCE WORDING</w:t>
            </w:r>
          </w:p>
        </w:tc>
        <w:tc>
          <w:tcPr>
            <w:tcW w:type="dxa" w:w="6408"/>
            <w:vAlign w:val="top"/>
            <w:tcMar>
              <w:top w:w="75" w:type="dxa"/>
              <w:start w:w="90" w:type="dxa"/>
              <w:bottom w:w="75" w:type="dxa"/>
              <w:end w:w="90" w:type="dxa"/>
            </w:tcMar>
          </w:tcPr>
          <w:p>
            <w:r>
              <w:t>The text presents Rādhā-kuṇḍa and Ariṣṭa-kuṇḍa as a paired sacred landscape, linked with directional relations, a setu and kuñjas; Ariṣṭa-kuṇḍa is born from Kṛṣṇa’s lotus foot.</w:t>
            </w:r>
          </w:p>
        </w:tc>
      </w:tr>
      <w:tr>
        <w:trPr>
          <w:cantSplit/>
        </w:trPr>
        <w:tc>
          <w:tcPr>
            <w:tcW w:type="dxa" w:w="2232"/>
            <w:vAlign w:val="top"/>
            <w:tcMar>
              <w:top w:w="75" w:type="dxa"/>
              <w:start w:w="90" w:type="dxa"/>
              <w:bottom w:w="75" w:type="dxa"/>
              <w:end w:w="90" w:type="dxa"/>
            </w:tcMar>
            <w:shd w:fill="D9EAF7"/>
          </w:tcPr>
          <w:p>
            <w:r>
              <w:rPr>
                <w:b/>
                <w:color w:val="1F4D78"/>
              </w:rPr>
              <w:t>PHYSICAL SIGNAL</w:t>
            </w:r>
          </w:p>
        </w:tc>
        <w:tc>
          <w:tcPr>
            <w:tcW w:type="dxa" w:w="6408"/>
            <w:vAlign w:val="top"/>
            <w:tcMar>
              <w:top w:w="75" w:type="dxa"/>
              <w:start w:w="90" w:type="dxa"/>
              <w:bottom w:w="75" w:type="dxa"/>
              <w:end w:w="90" w:type="dxa"/>
            </w:tcMar>
          </w:tcPr>
          <w:p>
            <w:r>
              <w:t>Ideal paired-kuṇḍa sacred geometry and līlā environment.</w:t>
            </w:r>
          </w:p>
        </w:tc>
      </w:tr>
      <w:tr>
        <w:trPr>
          <w:cantSplit/>
        </w:trPr>
        <w:tc>
          <w:tcPr>
            <w:tcW w:type="dxa" w:w="2232"/>
            <w:vAlign w:val="top"/>
            <w:tcMar>
              <w:top w:w="75" w:type="dxa"/>
              <w:start w:w="90" w:type="dxa"/>
              <w:bottom w:w="75" w:type="dxa"/>
              <w:end w:w="90" w:type="dxa"/>
            </w:tcMar>
            <w:shd w:fill="D9EAF7"/>
          </w:tcPr>
          <w:p>
            <w:r>
              <w:rPr>
                <w:b/>
                <w:color w:val="1F4D78"/>
              </w:rPr>
              <w:t>PROVES</w:t>
            </w:r>
          </w:p>
        </w:tc>
        <w:tc>
          <w:tcPr>
            <w:tcW w:type="dxa" w:w="6408"/>
            <w:vAlign w:val="top"/>
            <w:tcMar>
              <w:top w:w="75" w:type="dxa"/>
              <w:start w:w="90" w:type="dxa"/>
              <w:bottom w:w="75" w:type="dxa"/>
              <w:end w:w="90" w:type="dxa"/>
            </w:tcMar>
          </w:tcPr>
          <w:p>
            <w:r>
              <w:t>The theological/spatial template governing Gauḍīya contemplation.</w:t>
            </w:r>
          </w:p>
        </w:tc>
      </w:tr>
      <w:tr>
        <w:trPr>
          <w:cantSplit/>
        </w:trPr>
        <w:tc>
          <w:tcPr>
            <w:tcW w:type="dxa" w:w="2232"/>
            <w:vAlign w:val="top"/>
            <w:tcMar>
              <w:top w:w="75" w:type="dxa"/>
              <w:start w:w="90" w:type="dxa"/>
              <w:bottom w:w="75" w:type="dxa"/>
              <w:end w:w="90" w:type="dxa"/>
            </w:tcMar>
            <w:shd w:fill="D9EAF7"/>
          </w:tcPr>
          <w:p>
            <w:r>
              <w:rPr>
                <w:b/>
                <w:color w:val="1F4D78"/>
              </w:rPr>
              <w:t>DOES NOT PROVE</w:t>
            </w:r>
          </w:p>
        </w:tc>
        <w:tc>
          <w:tcPr>
            <w:tcW w:type="dxa" w:w="6408"/>
            <w:vAlign w:val="top"/>
            <w:tcMar>
              <w:top w:w="75" w:type="dxa"/>
              <w:start w:w="90" w:type="dxa"/>
              <w:bottom w:w="75" w:type="dxa"/>
              <w:end w:w="90" w:type="dxa"/>
            </w:tcMar>
          </w:tcPr>
          <w:p>
            <w:r>
              <w:t>Cannot be used as a literal sixteenth-century cadastral survey. The locally labeled commentary file is currently misaligned with the mūla sequence and is excluded from exact corroboration.</w:t>
            </w:r>
          </w:p>
        </w:tc>
      </w:tr>
      <w:tr>
        <w:trPr>
          <w:cantSplit/>
        </w:trPr>
        <w:tc>
          <w:tcPr>
            <w:tcW w:type="dxa" w:w="2232"/>
            <w:vAlign w:val="top"/>
            <w:tcMar>
              <w:top w:w="75" w:type="dxa"/>
              <w:start w:w="90" w:type="dxa"/>
              <w:bottom w:w="75" w:type="dxa"/>
              <w:end w:w="90" w:type="dxa"/>
            </w:tcMar>
            <w:shd w:fill="D9EAF7"/>
          </w:tcPr>
          <w:p>
            <w:r>
              <w:rPr>
                <w:b/>
                <w:color w:val="1F4D78"/>
              </w:rPr>
              <w:t>CONTROL STATUS</w:t>
            </w:r>
          </w:p>
        </w:tc>
        <w:tc>
          <w:tcPr>
            <w:tcW w:type="dxa" w:w="6408"/>
            <w:vAlign w:val="top"/>
            <w:tcMar>
              <w:top w:w="75" w:type="dxa"/>
              <w:start w:w="90" w:type="dxa"/>
              <w:bottom w:w="75" w:type="dxa"/>
              <w:end w:w="90" w:type="dxa"/>
            </w:tcMar>
          </w:tcPr>
          <w:p>
            <w:r>
              <w:t>HIGH for the mūla loci; commentary-file identity unresolved.</w:t>
            </w:r>
          </w:p>
        </w:tc>
      </w:tr>
    </w:tbl>
    <w:p>
      <w:pPr>
        <w:spacing w:after="100" w:line="252" w:lineRule="auto"/>
      </w:pPr>
    </w:p>
    <w:p>
      <w:pPr>
        <w:pStyle w:val="Heading3"/>
        <w:keepNext/>
      </w:pPr>
      <w:r>
        <w:t>P09 — Vraja-bhakti-vilāsa: early pilgrimage localization</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75" w:type="dxa"/>
              <w:start w:w="90" w:type="dxa"/>
              <w:bottom w:w="75" w:type="dxa"/>
              <w:end w:w="90" w:type="dxa"/>
            </w:tcMar>
            <w:shd w:fill="D9EAF7"/>
          </w:tcPr>
          <w:p>
            <w:r>
              <w:rPr>
                <w:b/>
                <w:color w:val="1F4D78"/>
              </w:rPr>
              <w:t>LOCUS / WITNESS</w:t>
            </w:r>
          </w:p>
        </w:tc>
        <w:tc>
          <w:tcPr>
            <w:tcW w:type="dxa" w:w="6408"/>
            <w:vAlign w:val="top"/>
            <w:tcMar>
              <w:top w:w="75" w:type="dxa"/>
              <w:start w:w="90" w:type="dxa"/>
              <w:bottom w:w="75" w:type="dxa"/>
              <w:end w:w="90" w:type="dxa"/>
            </w:tcMar>
          </w:tcPr>
          <w:p>
            <w:r>
              <w:t>Nārāyaṇa Bhaṭṭa, Vraja-bhakti-vilāsa, atha śrīkuṇḍavanam section; local searchable DOCX inspected, printed PDF reserved for final collation.</w:t>
            </w:r>
          </w:p>
        </w:tc>
      </w:tr>
      <w:tr>
        <w:trPr>
          <w:cantSplit/>
        </w:trPr>
        <w:tc>
          <w:tcPr>
            <w:tcW w:type="dxa" w:w="2232"/>
            <w:vAlign w:val="top"/>
            <w:tcMar>
              <w:top w:w="75" w:type="dxa"/>
              <w:start w:w="90" w:type="dxa"/>
              <w:bottom w:w="75" w:type="dxa"/>
              <w:end w:w="90" w:type="dxa"/>
            </w:tcMar>
            <w:shd w:fill="D9EAF7"/>
          </w:tcPr>
          <w:p>
            <w:r>
              <w:rPr>
                <w:b/>
                <w:color w:val="1F4D78"/>
              </w:rPr>
              <w:t>LAYER / GENRE</w:t>
            </w:r>
          </w:p>
        </w:tc>
        <w:tc>
          <w:tcPr>
            <w:tcW w:type="dxa" w:w="6408"/>
            <w:vAlign w:val="top"/>
            <w:tcMar>
              <w:top w:w="75" w:type="dxa"/>
              <w:start w:w="90" w:type="dxa"/>
              <w:bottom w:w="75" w:type="dxa"/>
              <w:end w:w="90" w:type="dxa"/>
            </w:tcMar>
          </w:tcPr>
          <w:p>
            <w:r>
              <w:t>B — early Vraja pilgrimage/localization tradition.</w:t>
            </w:r>
          </w:p>
        </w:tc>
      </w:tr>
      <w:tr>
        <w:trPr>
          <w:cantSplit/>
        </w:trPr>
        <w:tc>
          <w:tcPr>
            <w:tcW w:type="dxa" w:w="2232"/>
            <w:vAlign w:val="top"/>
            <w:tcMar>
              <w:top w:w="75" w:type="dxa"/>
              <w:start w:w="90" w:type="dxa"/>
              <w:bottom w:w="75" w:type="dxa"/>
              <w:end w:w="90" w:type="dxa"/>
            </w:tcMar>
            <w:shd w:fill="D9EAF7"/>
          </w:tcPr>
          <w:p>
            <w:r>
              <w:rPr>
                <w:b/>
                <w:color w:val="1F4D78"/>
              </w:rPr>
              <w:t>SOURCE WORDING</w:t>
            </w:r>
          </w:p>
        </w:tc>
        <w:tc>
          <w:tcPr>
            <w:tcW w:type="dxa" w:w="6408"/>
            <w:vAlign w:val="top"/>
            <w:tcMar>
              <w:top w:w="75" w:type="dxa"/>
              <w:start w:w="90" w:type="dxa"/>
              <w:bottom w:w="75" w:type="dxa"/>
              <w:end w:w="90" w:type="dxa"/>
            </w:tcMar>
          </w:tcPr>
          <w:p>
            <w:r>
              <w:t>The passage inventories Gopikā-kuṇḍa, Ariṣṭavana, named subsidiary kuṇḍas, Rādhā- and Kṛṣṇa-kuṇḍas, a sakhī-maṇḍala at their meeting and associated mūrtis.</w:t>
            </w:r>
          </w:p>
        </w:tc>
      </w:tr>
      <w:tr>
        <w:trPr>
          <w:cantSplit/>
        </w:trPr>
        <w:tc>
          <w:tcPr>
            <w:tcW w:type="dxa" w:w="2232"/>
            <w:vAlign w:val="top"/>
            <w:tcMar>
              <w:top w:w="75" w:type="dxa"/>
              <w:start w:w="90" w:type="dxa"/>
              <w:bottom w:w="75" w:type="dxa"/>
              <w:end w:w="90" w:type="dxa"/>
            </w:tcMar>
            <w:shd w:fill="D9EAF7"/>
          </w:tcPr>
          <w:p>
            <w:r>
              <w:rPr>
                <w:b/>
                <w:color w:val="1F4D78"/>
              </w:rPr>
              <w:t>PHYSICAL SIGNAL</w:t>
            </w:r>
          </w:p>
        </w:tc>
        <w:tc>
          <w:tcPr>
            <w:tcW w:type="dxa" w:w="6408"/>
            <w:vAlign w:val="top"/>
            <w:tcMar>
              <w:top w:w="75" w:type="dxa"/>
              <w:start w:w="90" w:type="dxa"/>
              <w:bottom w:w="75" w:type="dxa"/>
              <w:end w:w="90" w:type="dxa"/>
            </w:tcMar>
          </w:tcPr>
          <w:p>
            <w:r>
              <w:t>Maturing pilgrimage map with named features, confluence and ritual/iconic installations.</w:t>
            </w:r>
          </w:p>
        </w:tc>
      </w:tr>
      <w:tr>
        <w:trPr>
          <w:cantSplit/>
        </w:trPr>
        <w:tc>
          <w:tcPr>
            <w:tcW w:type="dxa" w:w="2232"/>
            <w:vAlign w:val="top"/>
            <w:tcMar>
              <w:top w:w="75" w:type="dxa"/>
              <w:start w:w="90" w:type="dxa"/>
              <w:bottom w:w="75" w:type="dxa"/>
              <w:end w:w="90" w:type="dxa"/>
            </w:tcMar>
            <w:shd w:fill="D9EAF7"/>
          </w:tcPr>
          <w:p>
            <w:r>
              <w:rPr>
                <w:b/>
                <w:color w:val="1F4D78"/>
              </w:rPr>
              <w:t>PROVES</w:t>
            </w:r>
          </w:p>
        </w:tc>
        <w:tc>
          <w:tcPr>
            <w:tcW w:type="dxa" w:w="6408"/>
            <w:vAlign w:val="top"/>
            <w:tcMar>
              <w:top w:w="75" w:type="dxa"/>
              <w:start w:w="90" w:type="dxa"/>
              <w:bottom w:w="75" w:type="dxa"/>
              <w:end w:w="90" w:type="dxa"/>
            </w:tcMar>
          </w:tcPr>
          <w:p>
            <w:r>
              <w:t>Early localization and liturgical organization of a kuṇḍa complex.</w:t>
            </w:r>
          </w:p>
        </w:tc>
      </w:tr>
      <w:tr>
        <w:trPr>
          <w:cantSplit/>
        </w:trPr>
        <w:tc>
          <w:tcPr>
            <w:tcW w:type="dxa" w:w="2232"/>
            <w:vAlign w:val="top"/>
            <w:tcMar>
              <w:top w:w="75" w:type="dxa"/>
              <w:start w:w="90" w:type="dxa"/>
              <w:bottom w:w="75" w:type="dxa"/>
              <w:end w:w="90" w:type="dxa"/>
            </w:tcMar>
            <w:shd w:fill="D9EAF7"/>
          </w:tcPr>
          <w:p>
            <w:r>
              <w:rPr>
                <w:b/>
                <w:color w:val="1F4D78"/>
              </w:rPr>
              <w:t>DOES NOT PROVE</w:t>
            </w:r>
          </w:p>
        </w:tc>
        <w:tc>
          <w:tcPr>
            <w:tcW w:type="dxa" w:w="6408"/>
            <w:vAlign w:val="top"/>
            <w:tcMar>
              <w:top w:w="75" w:type="dxa"/>
              <w:start w:w="90" w:type="dxa"/>
              <w:bottom w:w="75" w:type="dxa"/>
              <w:end w:w="90" w:type="dxa"/>
            </w:tcMar>
          </w:tcPr>
          <w:p>
            <w:r>
              <w:t>Does not independently establish those physical features before Raghunātha’s works. A Dhenuka/Ariṣṭa association in the local text is problematic and must not be silently emended.</w:t>
            </w:r>
          </w:p>
        </w:tc>
      </w:tr>
      <w:tr>
        <w:trPr>
          <w:cantSplit/>
        </w:trPr>
        <w:tc>
          <w:tcPr>
            <w:tcW w:type="dxa" w:w="2232"/>
            <w:vAlign w:val="top"/>
            <w:tcMar>
              <w:top w:w="75" w:type="dxa"/>
              <w:start w:w="90" w:type="dxa"/>
              <w:bottom w:w="75" w:type="dxa"/>
              <w:end w:w="90" w:type="dxa"/>
            </w:tcMar>
            <w:shd w:fill="D9EAF7"/>
          </w:tcPr>
          <w:p>
            <w:r>
              <w:rPr>
                <w:b/>
                <w:color w:val="1F4D78"/>
              </w:rPr>
              <w:t>CONTROL STATUS</w:t>
            </w:r>
          </w:p>
        </w:tc>
        <w:tc>
          <w:tcPr>
            <w:tcW w:type="dxa" w:w="6408"/>
            <w:vAlign w:val="top"/>
            <w:tcMar>
              <w:top w:w="75" w:type="dxa"/>
              <w:start w:w="90" w:type="dxa"/>
              <w:bottom w:w="75" w:type="dxa"/>
              <w:end w:w="90" w:type="dxa"/>
            </w:tcMar>
          </w:tcPr>
          <w:p>
            <w:r>
              <w:t>MEDIUM pending printed-witness collation and direct verification of date/colophon claims.</w:t>
            </w:r>
          </w:p>
        </w:tc>
      </w:tr>
    </w:tbl>
    <w:p>
      <w:pPr>
        <w:spacing w:after="100" w:line="252" w:lineRule="auto"/>
      </w:pPr>
    </w:p>
    <w:p>
      <w:pPr>
        <w:pStyle w:val="Heading3"/>
        <w:keepNext/>
      </w:pPr>
      <w:r>
        <w:t>P10 — Bhakti-ratnākara 5.477–529: retrospective memory of recognition</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75" w:type="dxa"/>
              <w:start w:w="90" w:type="dxa"/>
              <w:bottom w:w="75" w:type="dxa"/>
              <w:end w:w="90" w:type="dxa"/>
            </w:tcMar>
            <w:shd w:fill="D9EAF7"/>
          </w:tcPr>
          <w:p>
            <w:r>
              <w:rPr>
                <w:b/>
                <w:color w:val="1F4D78"/>
              </w:rPr>
              <w:t>LOCUS / WITNESS</w:t>
            </w:r>
          </w:p>
        </w:tc>
        <w:tc>
          <w:tcPr>
            <w:tcW w:type="dxa" w:w="6408"/>
            <w:vAlign w:val="top"/>
            <w:tcMar>
              <w:top w:w="75" w:type="dxa"/>
              <w:start w:w="90" w:type="dxa"/>
              <w:bottom w:w="75" w:type="dxa"/>
              <w:end w:w="90" w:type="dxa"/>
            </w:tcMar>
          </w:tcPr>
          <w:p>
            <w:r>
              <w:t>Narahari Cakravartī, Bhakti-ratnākara 5.477–478, 5.511 and 5.527; Romanized local witness independently checked.</w:t>
            </w:r>
          </w:p>
        </w:tc>
      </w:tr>
      <w:tr>
        <w:trPr>
          <w:cantSplit/>
        </w:trPr>
        <w:tc>
          <w:tcPr>
            <w:tcW w:type="dxa" w:w="2232"/>
            <w:vAlign w:val="top"/>
            <w:tcMar>
              <w:top w:w="75" w:type="dxa"/>
              <w:start w:w="90" w:type="dxa"/>
              <w:bottom w:w="75" w:type="dxa"/>
              <w:end w:w="90" w:type="dxa"/>
            </w:tcMar>
            <w:shd w:fill="D9EAF7"/>
          </w:tcPr>
          <w:p>
            <w:r>
              <w:rPr>
                <w:b/>
                <w:color w:val="1F4D78"/>
              </w:rPr>
              <w:t>LAYER / GENRE</w:t>
            </w:r>
          </w:p>
        </w:tc>
        <w:tc>
          <w:tcPr>
            <w:tcW w:type="dxa" w:w="6408"/>
            <w:vAlign w:val="top"/>
            <w:tcMar>
              <w:top w:w="75" w:type="dxa"/>
              <w:start w:w="90" w:type="dxa"/>
              <w:bottom w:w="75" w:type="dxa"/>
              <w:end w:w="90" w:type="dxa"/>
            </w:tcMar>
          </w:tcPr>
          <w:p>
            <w:r>
              <w:t>B — retrospective Vraja/Gauḍīya pilgrimage history.</w:t>
            </w:r>
          </w:p>
        </w:tc>
      </w:tr>
      <w:tr>
        <w:trPr>
          <w:cantSplit/>
        </w:trPr>
        <w:tc>
          <w:tcPr>
            <w:tcW w:type="dxa" w:w="2232"/>
            <w:vAlign w:val="top"/>
            <w:tcMar>
              <w:top w:w="75" w:type="dxa"/>
              <w:start w:w="90" w:type="dxa"/>
              <w:bottom w:w="75" w:type="dxa"/>
              <w:end w:w="90" w:type="dxa"/>
            </w:tcMar>
            <w:shd w:fill="D9EAF7"/>
          </w:tcPr>
          <w:p>
            <w:r>
              <w:rPr>
                <w:b/>
                <w:color w:val="1F4D78"/>
              </w:rPr>
              <w:t>SOURCE WORDING</w:t>
            </w:r>
          </w:p>
        </w:tc>
        <w:tc>
          <w:tcPr>
            <w:tcW w:type="dxa" w:w="6408"/>
            <w:vAlign w:val="top"/>
            <w:tcMar>
              <w:top w:w="75" w:type="dxa"/>
              <w:start w:w="90" w:type="dxa"/>
              <w:bottom w:w="75" w:type="dxa"/>
              <w:end w:w="90" w:type="dxa"/>
            </w:tcMar>
          </w:tcPr>
          <w:p>
            <w:r>
              <w:t>The text identifies Āriṭ village with Ariṣṭa; says the kuṇḍadvaya had become two paddy fields; and reports local field names Kālī and Gaurī before recognition by Mahāprabhu’s grace.</w:t>
            </w:r>
          </w:p>
        </w:tc>
      </w:tr>
      <w:tr>
        <w:trPr>
          <w:cantSplit/>
        </w:trPr>
        <w:tc>
          <w:tcPr>
            <w:tcW w:type="dxa" w:w="2232"/>
            <w:vAlign w:val="top"/>
            <w:tcMar>
              <w:top w:w="75" w:type="dxa"/>
              <w:start w:w="90" w:type="dxa"/>
              <w:bottom w:w="75" w:type="dxa"/>
              <w:end w:w="90" w:type="dxa"/>
            </w:tcMar>
            <w:shd w:fill="D9EAF7"/>
          </w:tcPr>
          <w:p>
            <w:r>
              <w:rPr>
                <w:b/>
                <w:color w:val="1F4D78"/>
              </w:rPr>
              <w:t>PHYSICAL SIGNAL</w:t>
            </w:r>
          </w:p>
        </w:tc>
        <w:tc>
          <w:tcPr>
            <w:tcW w:type="dxa" w:w="6408"/>
            <w:vAlign w:val="top"/>
            <w:tcMar>
              <w:top w:w="75" w:type="dxa"/>
              <w:start w:w="90" w:type="dxa"/>
              <w:bottom w:w="75" w:type="dxa"/>
              <w:end w:w="90" w:type="dxa"/>
            </w:tcMar>
          </w:tcPr>
          <w:p>
            <w:r>
              <w:t>Village continuity, cultivated fields, remembered local names and retrospective sacred identification.</w:t>
            </w:r>
          </w:p>
        </w:tc>
      </w:tr>
      <w:tr>
        <w:trPr>
          <w:cantSplit/>
        </w:trPr>
        <w:tc>
          <w:tcPr>
            <w:tcW w:type="dxa" w:w="2232"/>
            <w:vAlign w:val="top"/>
            <w:tcMar>
              <w:top w:w="75" w:type="dxa"/>
              <w:start w:w="90" w:type="dxa"/>
              <w:bottom w:w="75" w:type="dxa"/>
              <w:end w:w="90" w:type="dxa"/>
            </w:tcMar>
            <w:shd w:fill="D9EAF7"/>
          </w:tcPr>
          <w:p>
            <w:r>
              <w:rPr>
                <w:b/>
                <w:color w:val="1F4D78"/>
              </w:rPr>
              <w:t>PROVES</w:t>
            </w:r>
          </w:p>
        </w:tc>
        <w:tc>
          <w:tcPr>
            <w:tcW w:type="dxa" w:w="6408"/>
            <w:vAlign w:val="top"/>
            <w:tcMar>
              <w:top w:w="75" w:type="dxa"/>
              <w:start w:w="90" w:type="dxa"/>
              <w:bottom w:w="75" w:type="dxa"/>
              <w:end w:w="90" w:type="dxa"/>
            </w:tcMar>
          </w:tcPr>
          <w:p>
            <w:r>
              <w:t>A later tradition closely aligned with CC’s field description and preserving additional local-name memory.</w:t>
            </w:r>
          </w:p>
        </w:tc>
      </w:tr>
      <w:tr>
        <w:trPr>
          <w:cantSplit/>
        </w:trPr>
        <w:tc>
          <w:tcPr>
            <w:tcW w:type="dxa" w:w="2232"/>
            <w:vAlign w:val="top"/>
            <w:tcMar>
              <w:top w:w="75" w:type="dxa"/>
              <w:start w:w="90" w:type="dxa"/>
              <w:bottom w:w="75" w:type="dxa"/>
              <w:end w:w="90" w:type="dxa"/>
            </w:tcMar>
            <w:shd w:fill="D9EAF7"/>
          </w:tcPr>
          <w:p>
            <w:r>
              <w:rPr>
                <w:b/>
                <w:color w:val="1F4D78"/>
              </w:rPr>
              <w:t>DOES NOT PROVE</w:t>
            </w:r>
          </w:p>
        </w:tc>
        <w:tc>
          <w:tcPr>
            <w:tcW w:type="dxa" w:w="6408"/>
            <w:vAlign w:val="top"/>
            <w:tcMar>
              <w:top w:w="75" w:type="dxa"/>
              <w:start w:w="90" w:type="dxa"/>
              <w:bottom w:w="75" w:type="dxa"/>
              <w:end w:w="90" w:type="dxa"/>
            </w:tcMar>
          </w:tcPr>
          <w:p>
            <w:r>
              <w:t>Kālī/Gaurī names are not independently attested in CC and cannot be promoted to early-sixteenth-century fact without another witness.</w:t>
            </w:r>
          </w:p>
        </w:tc>
      </w:tr>
      <w:tr>
        <w:trPr>
          <w:cantSplit/>
        </w:trPr>
        <w:tc>
          <w:tcPr>
            <w:tcW w:type="dxa" w:w="2232"/>
            <w:vAlign w:val="top"/>
            <w:tcMar>
              <w:top w:w="75" w:type="dxa"/>
              <w:start w:w="90" w:type="dxa"/>
              <w:bottom w:w="75" w:type="dxa"/>
              <w:end w:w="90" w:type="dxa"/>
            </w:tcMar>
            <w:shd w:fill="D9EAF7"/>
          </w:tcPr>
          <w:p>
            <w:r>
              <w:rPr>
                <w:b/>
                <w:color w:val="1F4D78"/>
              </w:rPr>
              <w:t>CONTROL STATUS</w:t>
            </w:r>
          </w:p>
        </w:tc>
        <w:tc>
          <w:tcPr>
            <w:tcW w:type="dxa" w:w="6408"/>
            <w:vAlign w:val="top"/>
            <w:tcMar>
              <w:top w:w="75" w:type="dxa"/>
              <w:start w:w="90" w:type="dxa"/>
              <w:bottom w:w="75" w:type="dxa"/>
              <w:end w:w="90" w:type="dxa"/>
            </w:tcMar>
          </w:tcPr>
          <w:p>
            <w:r>
              <w:t>MEDIUM-HIGH for exact Bengali wording; B-layer date and dependence must remain explicit.</w:t>
            </w:r>
          </w:p>
        </w:tc>
      </w:tr>
    </w:tbl>
    <w:p>
      <w:pPr>
        <w:spacing w:after="100" w:line="252" w:lineRule="auto"/>
      </w:pPr>
    </w:p>
    <w:p>
      <w:pPr>
        <w:pStyle w:val="Heading3"/>
        <w:keepNext/>
      </w:pPr>
      <w:r>
        <w:t>P11 — Bhakti-ratnākara 5.530–547: restoration/excavation vocabulary</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75" w:type="dxa"/>
              <w:start w:w="90" w:type="dxa"/>
              <w:bottom w:w="75" w:type="dxa"/>
              <w:end w:w="90" w:type="dxa"/>
            </w:tcMar>
            <w:shd w:fill="D9EAF7"/>
          </w:tcPr>
          <w:p>
            <w:r>
              <w:rPr>
                <w:b/>
                <w:color w:val="1F4D78"/>
              </w:rPr>
              <w:t>LOCUS / WITNESS</w:t>
            </w:r>
          </w:p>
        </w:tc>
        <w:tc>
          <w:tcPr>
            <w:tcW w:type="dxa" w:w="6408"/>
            <w:vAlign w:val="top"/>
            <w:tcMar>
              <w:top w:w="75" w:type="dxa"/>
              <w:start w:w="90" w:type="dxa"/>
              <w:bottom w:w="75" w:type="dxa"/>
              <w:end w:w="90" w:type="dxa"/>
            </w:tcMar>
          </w:tcPr>
          <w:p>
            <w:r>
              <w:t>Bhakti-ratnākara 5.530–547; Romanized local witness independently checked.</w:t>
            </w:r>
          </w:p>
        </w:tc>
      </w:tr>
      <w:tr>
        <w:trPr>
          <w:cantSplit/>
        </w:trPr>
        <w:tc>
          <w:tcPr>
            <w:tcW w:type="dxa" w:w="2232"/>
            <w:vAlign w:val="top"/>
            <w:tcMar>
              <w:top w:w="75" w:type="dxa"/>
              <w:start w:w="90" w:type="dxa"/>
              <w:bottom w:w="75" w:type="dxa"/>
              <w:end w:w="90" w:type="dxa"/>
            </w:tcMar>
            <w:shd w:fill="D9EAF7"/>
          </w:tcPr>
          <w:p>
            <w:r>
              <w:rPr>
                <w:b/>
                <w:color w:val="1F4D78"/>
              </w:rPr>
              <w:t>LAYER / GENRE</w:t>
            </w:r>
          </w:p>
        </w:tc>
        <w:tc>
          <w:tcPr>
            <w:tcW w:type="dxa" w:w="6408"/>
            <w:vAlign w:val="top"/>
            <w:tcMar>
              <w:top w:w="75" w:type="dxa"/>
              <w:start w:w="90" w:type="dxa"/>
              <w:bottom w:w="75" w:type="dxa"/>
              <w:end w:w="90" w:type="dxa"/>
            </w:tcMar>
          </w:tcPr>
          <w:p>
            <w:r>
              <w:t>B — retrospective pilgrimage-history narrative.</w:t>
            </w:r>
          </w:p>
        </w:tc>
      </w:tr>
      <w:tr>
        <w:trPr>
          <w:cantSplit/>
        </w:trPr>
        <w:tc>
          <w:tcPr>
            <w:tcW w:type="dxa" w:w="2232"/>
            <w:vAlign w:val="top"/>
            <w:tcMar>
              <w:top w:w="75" w:type="dxa"/>
              <w:start w:w="90" w:type="dxa"/>
              <w:bottom w:w="75" w:type="dxa"/>
              <w:end w:w="90" w:type="dxa"/>
            </w:tcMar>
            <w:shd w:fill="D9EAF7"/>
          </w:tcPr>
          <w:p>
            <w:r>
              <w:rPr>
                <w:b/>
                <w:color w:val="1F4D78"/>
              </w:rPr>
              <w:t>SOURCE WORDING</w:t>
            </w:r>
          </w:p>
        </w:tc>
        <w:tc>
          <w:tcPr>
            <w:tcW w:type="dxa" w:w="6408"/>
            <w:vAlign w:val="top"/>
            <w:tcMar>
              <w:top w:w="75" w:type="dxa"/>
              <w:start w:w="90" w:type="dxa"/>
              <w:bottom w:w="75" w:type="dxa"/>
              <w:end w:w="90" w:type="dxa"/>
            </w:tcMar>
          </w:tcPr>
          <w:p>
            <w:r>
              <w:t>The former paddy fields become water-filled; a donor is directed to Āriṭ; Raghunātha calls for paṅkoddhāra of the kuṇḍadvaya; many people are engaged; the two kuṇḍas are khodāila with care.</w:t>
            </w:r>
          </w:p>
        </w:tc>
      </w:tr>
      <w:tr>
        <w:trPr>
          <w:cantSplit/>
        </w:trPr>
        <w:tc>
          <w:tcPr>
            <w:tcW w:type="dxa" w:w="2232"/>
            <w:vAlign w:val="top"/>
            <w:tcMar>
              <w:top w:w="75" w:type="dxa"/>
              <w:start w:w="90" w:type="dxa"/>
              <w:bottom w:w="75" w:type="dxa"/>
              <w:end w:w="90" w:type="dxa"/>
            </w:tcMar>
            <w:shd w:fill="D9EAF7"/>
          </w:tcPr>
          <w:p>
            <w:r>
              <w:rPr>
                <w:b/>
                <w:color w:val="1F4D78"/>
              </w:rPr>
              <w:t>PHYSICAL SIGNAL</w:t>
            </w:r>
          </w:p>
        </w:tc>
        <w:tc>
          <w:tcPr>
            <w:tcW w:type="dxa" w:w="6408"/>
            <w:vAlign w:val="top"/>
            <w:tcMar>
              <w:top w:w="75" w:type="dxa"/>
              <w:start w:w="90" w:type="dxa"/>
              <w:bottom w:w="75" w:type="dxa"/>
              <w:end w:w="90" w:type="dxa"/>
            </w:tcMar>
          </w:tcPr>
          <w:p>
            <w:r>
              <w:t>Removal of mud/silt and deliberate digging by a labour force; continuity of the identity kuṇḍadvaya across field and restored-basin states.</w:t>
            </w:r>
          </w:p>
        </w:tc>
      </w:tr>
      <w:tr>
        <w:trPr>
          <w:cantSplit/>
        </w:trPr>
        <w:tc>
          <w:tcPr>
            <w:tcW w:type="dxa" w:w="2232"/>
            <w:vAlign w:val="top"/>
            <w:tcMar>
              <w:top w:w="75" w:type="dxa"/>
              <w:start w:w="90" w:type="dxa"/>
              <w:bottom w:w="75" w:type="dxa"/>
              <w:end w:w="90" w:type="dxa"/>
            </w:tcMar>
            <w:shd w:fill="D9EAF7"/>
          </w:tcPr>
          <w:p>
            <w:r>
              <w:rPr>
                <w:b/>
                <w:color w:val="1F4D78"/>
              </w:rPr>
              <w:t>PROVES</w:t>
            </w:r>
          </w:p>
        </w:tc>
        <w:tc>
          <w:tcPr>
            <w:tcW w:type="dxa" w:w="6408"/>
            <w:vAlign w:val="top"/>
            <w:tcMar>
              <w:top w:w="75" w:type="dxa"/>
              <w:start w:w="90" w:type="dxa"/>
              <w:bottom w:w="75" w:type="dxa"/>
              <w:end w:w="90" w:type="dxa"/>
            </w:tcMar>
          </w:tcPr>
          <w:p>
            <w:r>
              <w:t>A strong B-layer memory of substantial restoration/excavation rather than simple creation ex nihilo.</w:t>
            </w:r>
          </w:p>
        </w:tc>
      </w:tr>
      <w:tr>
        <w:trPr>
          <w:cantSplit/>
        </w:trPr>
        <w:tc>
          <w:tcPr>
            <w:tcW w:type="dxa" w:w="2232"/>
            <w:vAlign w:val="top"/>
            <w:tcMar>
              <w:top w:w="75" w:type="dxa"/>
              <w:start w:w="90" w:type="dxa"/>
              <w:bottom w:w="75" w:type="dxa"/>
              <w:end w:w="90" w:type="dxa"/>
            </w:tcMar>
            <w:shd w:fill="D9EAF7"/>
          </w:tcPr>
          <w:p>
            <w:r>
              <w:rPr>
                <w:b/>
                <w:color w:val="1F4D78"/>
              </w:rPr>
              <w:t>DOES NOT PROVE</w:t>
            </w:r>
          </w:p>
        </w:tc>
        <w:tc>
          <w:tcPr>
            <w:tcW w:type="dxa" w:w="6408"/>
            <w:vAlign w:val="top"/>
            <w:tcMar>
              <w:top w:w="75" w:type="dxa"/>
              <w:start w:w="90" w:type="dxa"/>
              <w:bottom w:w="75" w:type="dxa"/>
              <w:end w:w="90" w:type="dxa"/>
            </w:tcMar>
          </w:tcPr>
          <w:p>
            <w:r>
              <w:t>Does not supply a contemporary contract, exact date, dimensions, engineering stages or independent donor identity verification.</w:t>
            </w:r>
          </w:p>
        </w:tc>
      </w:tr>
      <w:tr>
        <w:trPr>
          <w:cantSplit/>
        </w:trPr>
        <w:tc>
          <w:tcPr>
            <w:tcW w:type="dxa" w:w="2232"/>
            <w:vAlign w:val="top"/>
            <w:tcMar>
              <w:top w:w="75" w:type="dxa"/>
              <w:start w:w="90" w:type="dxa"/>
              <w:bottom w:w="75" w:type="dxa"/>
              <w:end w:w="90" w:type="dxa"/>
            </w:tcMar>
            <w:shd w:fill="D9EAF7"/>
          </w:tcPr>
          <w:p>
            <w:r>
              <w:rPr>
                <w:b/>
                <w:color w:val="1F4D78"/>
              </w:rPr>
              <w:t>CONTROL STATUS</w:t>
            </w:r>
          </w:p>
        </w:tc>
        <w:tc>
          <w:tcPr>
            <w:tcW w:type="dxa" w:w="6408"/>
            <w:vAlign w:val="top"/>
            <w:tcMar>
              <w:top w:w="75" w:type="dxa"/>
              <w:start w:w="90" w:type="dxa"/>
              <w:bottom w:w="75" w:type="dxa"/>
              <w:end w:w="90" w:type="dxa"/>
            </w:tcMar>
          </w:tcPr>
          <w:p>
            <w:r>
              <w:t>MEDIUM as retrospective history; converges with Block 1 D-layer reconstruction.</w:t>
            </w:r>
          </w:p>
        </w:tc>
      </w:tr>
    </w:tbl>
    <w:p>
      <w:pPr>
        <w:spacing w:after="100" w:line="252" w:lineRule="auto"/>
      </w:pPr>
    </w:p>
    <w:p>
      <w:pPr>
        <w:pStyle w:val="Heading3"/>
        <w:keepNext/>
      </w:pPr>
      <w:r>
        <w:t>P12 — 1579 Persian declaration: secure mixed village-edge topography</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75" w:type="dxa"/>
              <w:start w:w="90" w:type="dxa"/>
              <w:bottom w:w="75" w:type="dxa"/>
              <w:end w:w="90" w:type="dxa"/>
            </w:tcMar>
            <w:shd w:fill="D9EAF7"/>
          </w:tcPr>
          <w:p>
            <w:r>
              <w:rPr>
                <w:b/>
                <w:color w:val="1F4D78"/>
              </w:rPr>
              <w:t>LOCUS / WITNESS</w:t>
            </w:r>
          </w:p>
        </w:tc>
        <w:tc>
          <w:tcPr>
            <w:tcW w:type="dxa" w:w="6408"/>
            <w:vAlign w:val="top"/>
            <w:tcMar>
              <w:top w:w="75" w:type="dxa"/>
              <w:start w:w="90" w:type="dxa"/>
              <w:bottom w:w="75" w:type="dxa"/>
              <w:end w:w="90" w:type="dxa"/>
            </w:tcMar>
          </w:tcPr>
          <w:p>
            <w:r>
              <w:t>Block 1 A10: original Persian declaration, 29 Nov 1579, Land Rights Doc. 10 / R.D. No.11, as published and calendared by Mukherjee–Habib.</w:t>
            </w:r>
          </w:p>
        </w:tc>
      </w:tr>
      <w:tr>
        <w:trPr>
          <w:cantSplit/>
        </w:trPr>
        <w:tc>
          <w:tcPr>
            <w:tcW w:type="dxa" w:w="2232"/>
            <w:vAlign w:val="top"/>
            <w:tcMar>
              <w:top w:w="75" w:type="dxa"/>
              <w:start w:w="90" w:type="dxa"/>
              <w:bottom w:w="75" w:type="dxa"/>
              <w:end w:w="90" w:type="dxa"/>
            </w:tcMar>
            <w:shd w:fill="D9EAF7"/>
          </w:tcPr>
          <w:p>
            <w:r>
              <w:rPr>
                <w:b/>
                <w:color w:val="1F4D78"/>
              </w:rPr>
              <w:t>LAYER / GENRE</w:t>
            </w:r>
          </w:p>
        </w:tc>
        <w:tc>
          <w:tcPr>
            <w:tcW w:type="dxa" w:w="6408"/>
            <w:vAlign w:val="top"/>
            <w:tcMar>
              <w:top w:w="75" w:type="dxa"/>
              <w:start w:w="90" w:type="dxa"/>
              <w:bottom w:w="75" w:type="dxa"/>
              <w:end w:w="90" w:type="dxa"/>
            </w:tcMar>
          </w:tcPr>
          <w:p>
            <w:r>
              <w:t>D — secure late-sixteenth-century documentary witness.</w:t>
            </w:r>
          </w:p>
        </w:tc>
      </w:tr>
      <w:tr>
        <w:trPr>
          <w:cantSplit/>
        </w:trPr>
        <w:tc>
          <w:tcPr>
            <w:tcW w:type="dxa" w:w="2232"/>
            <w:vAlign w:val="top"/>
            <w:tcMar>
              <w:top w:w="75" w:type="dxa"/>
              <w:start w:w="90" w:type="dxa"/>
              <w:bottom w:w="75" w:type="dxa"/>
              <w:end w:w="90" w:type="dxa"/>
            </w:tcMar>
            <w:shd w:fill="D9EAF7"/>
          </w:tcPr>
          <w:p>
            <w:r>
              <w:rPr>
                <w:b/>
                <w:color w:val="1F4D78"/>
              </w:rPr>
              <w:t>SOURCE WORDING</w:t>
            </w:r>
          </w:p>
        </w:tc>
        <w:tc>
          <w:tcPr>
            <w:tcW w:type="dxa" w:w="6408"/>
            <w:vAlign w:val="top"/>
            <w:tcMar>
              <w:top w:w="75" w:type="dxa"/>
              <w:start w:w="90" w:type="dxa"/>
              <w:bottom w:w="75" w:type="dxa"/>
              <w:end w:w="90" w:type="dxa"/>
            </w:tcMar>
          </w:tcPr>
          <w:p>
            <w:r>
              <w:t>Six wasteland plots are bounded by cultivated edge, village mound/lane, karail and neem trees, Gobinda’s well, a nullah/nālā, Mahādeva temple, Do-ghāṭ and market-garden features.</w:t>
            </w:r>
          </w:p>
        </w:tc>
      </w:tr>
      <w:tr>
        <w:trPr>
          <w:cantSplit/>
        </w:trPr>
        <w:tc>
          <w:tcPr>
            <w:tcW w:type="dxa" w:w="2232"/>
            <w:vAlign w:val="top"/>
            <w:tcMar>
              <w:top w:w="75" w:type="dxa"/>
              <w:start w:w="90" w:type="dxa"/>
              <w:bottom w:w="75" w:type="dxa"/>
              <w:end w:w="90" w:type="dxa"/>
            </w:tcMar>
            <w:shd w:fill="D9EAF7"/>
          </w:tcPr>
          <w:p>
            <w:r>
              <w:rPr>
                <w:b/>
                <w:color w:val="1F4D78"/>
              </w:rPr>
              <w:t>PHYSICAL SIGNAL</w:t>
            </w:r>
          </w:p>
        </w:tc>
        <w:tc>
          <w:tcPr>
            <w:tcW w:type="dxa" w:w="6408"/>
            <w:vAlign w:val="top"/>
            <w:tcMar>
              <w:top w:w="75" w:type="dxa"/>
              <w:start w:w="90" w:type="dxa"/>
              <w:bottom w:w="75" w:type="dxa"/>
              <w:end w:w="90" w:type="dxa"/>
            </w:tcMar>
          </w:tcPr>
          <w:p>
            <w:r>
              <w:t>Settled agrarian periphery around tank-related land: habitation, cultivation, gardens, scrub/wasteland, water infrastructure, channel, shrine, trees and access points.</w:t>
            </w:r>
          </w:p>
        </w:tc>
      </w:tr>
      <w:tr>
        <w:trPr>
          <w:cantSplit/>
        </w:trPr>
        <w:tc>
          <w:tcPr>
            <w:tcW w:type="dxa" w:w="2232"/>
            <w:vAlign w:val="top"/>
            <w:tcMar>
              <w:top w:w="75" w:type="dxa"/>
              <w:start w:w="90" w:type="dxa"/>
              <w:bottom w:w="75" w:type="dxa"/>
              <w:end w:w="90" w:type="dxa"/>
            </w:tcMar>
            <w:shd w:fill="D9EAF7"/>
          </w:tcPr>
          <w:p>
            <w:r>
              <w:rPr>
                <w:b/>
                <w:color w:val="1F4D78"/>
              </w:rPr>
              <w:t>PROVES</w:t>
            </w:r>
          </w:p>
        </w:tc>
        <w:tc>
          <w:tcPr>
            <w:tcW w:type="dxa" w:w="6408"/>
            <w:vAlign w:val="top"/>
            <w:tcMar>
              <w:top w:w="75" w:type="dxa"/>
              <w:start w:w="90" w:type="dxa"/>
              <w:bottom w:w="75" w:type="dxa"/>
              <w:end w:w="90" w:type="dxa"/>
            </w:tcMar>
          </w:tcPr>
          <w:p>
            <w:r>
              <w:t>By 1579 Āriṭ was neither an empty wilderness nor only two isolated ponds; it was a socially occupied, mixed-use landscape.</w:t>
            </w:r>
          </w:p>
        </w:tc>
      </w:tr>
      <w:tr>
        <w:trPr>
          <w:cantSplit/>
        </w:trPr>
        <w:tc>
          <w:tcPr>
            <w:tcW w:type="dxa" w:w="2232"/>
            <w:vAlign w:val="top"/>
            <w:tcMar>
              <w:top w:w="75" w:type="dxa"/>
              <w:start w:w="90" w:type="dxa"/>
              <w:bottom w:w="75" w:type="dxa"/>
              <w:end w:w="90" w:type="dxa"/>
            </w:tcMar>
            <w:shd w:fill="D9EAF7"/>
          </w:tcPr>
          <w:p>
            <w:r>
              <w:rPr>
                <w:b/>
                <w:color w:val="1F4D78"/>
              </w:rPr>
              <w:t>DOES NOT PROVE</w:t>
            </w:r>
          </w:p>
        </w:tc>
        <w:tc>
          <w:tcPr>
            <w:tcW w:type="dxa" w:w="6408"/>
            <w:vAlign w:val="top"/>
            <w:tcMar>
              <w:top w:w="75" w:type="dxa"/>
              <w:start w:w="90" w:type="dxa"/>
              <w:bottom w:w="75" w:type="dxa"/>
              <w:end w:w="90" w:type="dxa"/>
            </w:tcMar>
          </w:tcPr>
          <w:p>
            <w:r>
              <w:t>Does not prove that every boundary feature existed at Mahāprabhu’s visit or that every plot was part of the original sacred basins.</w:t>
            </w:r>
          </w:p>
        </w:tc>
      </w:tr>
      <w:tr>
        <w:trPr>
          <w:cantSplit/>
        </w:trPr>
        <w:tc>
          <w:tcPr>
            <w:tcW w:type="dxa" w:w="2232"/>
            <w:vAlign w:val="top"/>
            <w:tcMar>
              <w:top w:w="75" w:type="dxa"/>
              <w:start w:w="90" w:type="dxa"/>
              <w:bottom w:w="75" w:type="dxa"/>
              <w:end w:w="90" w:type="dxa"/>
            </w:tcMar>
            <w:shd w:fill="D9EAF7"/>
          </w:tcPr>
          <w:p>
            <w:r>
              <w:rPr>
                <w:b/>
                <w:color w:val="1F4D78"/>
              </w:rPr>
              <w:t>CONTROL STATUS</w:t>
            </w:r>
          </w:p>
        </w:tc>
        <w:tc>
          <w:tcPr>
            <w:tcW w:type="dxa" w:w="6408"/>
            <w:vAlign w:val="top"/>
            <w:tcMar>
              <w:top w:w="75" w:type="dxa"/>
              <w:start w:w="90" w:type="dxa"/>
              <w:bottom w:w="75" w:type="dxa"/>
              <w:end w:w="90" w:type="dxa"/>
            </w:tcMar>
          </w:tcPr>
          <w:p>
            <w:r>
              <w:t>HIGH for date and cumulative topographic anchor; original-language facsimile still required for publication quotation.</w:t>
            </w:r>
          </w:p>
        </w:tc>
      </w:tr>
    </w:tbl>
    <w:p>
      <w:pPr>
        <w:spacing w:after="100" w:line="252" w:lineRule="auto"/>
      </w:pPr>
    </w:p>
    <w:p>
      <w:pPr>
        <w:pStyle w:val="Heading3"/>
        <w:keepNext/>
      </w:pPr>
      <w:r>
        <w:t>P13 — 1588 Persian declaration: title consolidation and hiba</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75" w:type="dxa"/>
              <w:start w:w="90" w:type="dxa"/>
              <w:bottom w:w="75" w:type="dxa"/>
              <w:end w:w="90" w:type="dxa"/>
            </w:tcMar>
            <w:shd w:fill="D9EAF7"/>
          </w:tcPr>
          <w:p>
            <w:r>
              <w:rPr>
                <w:b/>
                <w:color w:val="1F4D78"/>
              </w:rPr>
              <w:t>LOCUS / WITNESS</w:t>
            </w:r>
          </w:p>
        </w:tc>
        <w:tc>
          <w:tcPr>
            <w:tcW w:type="dxa" w:w="6408"/>
            <w:vAlign w:val="top"/>
            <w:tcMar>
              <w:top w:w="75" w:type="dxa"/>
              <w:start w:w="90" w:type="dxa"/>
              <w:bottom w:w="75" w:type="dxa"/>
              <w:end w:w="90" w:type="dxa"/>
            </w:tcMar>
          </w:tcPr>
          <w:p>
            <w:r>
              <w:t>Block 1 A11: declaration dated 7 Rajab 996 / 2 Jun 1588, G.D.8; copy M.M.1.</w:t>
            </w:r>
          </w:p>
        </w:tc>
      </w:tr>
      <w:tr>
        <w:trPr>
          <w:cantSplit/>
        </w:trPr>
        <w:tc>
          <w:tcPr>
            <w:tcW w:type="dxa" w:w="2232"/>
            <w:vAlign w:val="top"/>
            <w:tcMar>
              <w:top w:w="75" w:type="dxa"/>
              <w:start w:w="90" w:type="dxa"/>
              <w:bottom w:w="75" w:type="dxa"/>
              <w:end w:w="90" w:type="dxa"/>
            </w:tcMar>
            <w:shd w:fill="D9EAF7"/>
          </w:tcPr>
          <w:p>
            <w:r>
              <w:rPr>
                <w:b/>
                <w:color w:val="1F4D78"/>
              </w:rPr>
              <w:t>LAYER / GENRE</w:t>
            </w:r>
          </w:p>
        </w:tc>
        <w:tc>
          <w:tcPr>
            <w:tcW w:type="dxa" w:w="6408"/>
            <w:vAlign w:val="top"/>
            <w:tcMar>
              <w:top w:w="75" w:type="dxa"/>
              <w:start w:w="90" w:type="dxa"/>
              <w:bottom w:w="75" w:type="dxa"/>
              <w:end w:w="90" w:type="dxa"/>
            </w:tcMar>
          </w:tcPr>
          <w:p>
            <w:r>
              <w:t>D — secure late-sixteenth-century documentary witness.</w:t>
            </w:r>
          </w:p>
        </w:tc>
      </w:tr>
      <w:tr>
        <w:trPr>
          <w:cantSplit/>
        </w:trPr>
        <w:tc>
          <w:tcPr>
            <w:tcW w:type="dxa" w:w="2232"/>
            <w:vAlign w:val="top"/>
            <w:tcMar>
              <w:top w:w="75" w:type="dxa"/>
              <w:start w:w="90" w:type="dxa"/>
              <w:bottom w:w="75" w:type="dxa"/>
              <w:end w:w="90" w:type="dxa"/>
            </w:tcMar>
            <w:shd w:fill="D9EAF7"/>
          </w:tcPr>
          <w:p>
            <w:r>
              <w:rPr>
                <w:b/>
                <w:color w:val="1F4D78"/>
              </w:rPr>
              <w:t>SOURCE WORDING</w:t>
            </w:r>
          </w:p>
        </w:tc>
        <w:tc>
          <w:tcPr>
            <w:tcW w:type="dxa" w:w="6408"/>
            <w:vAlign w:val="top"/>
            <w:tcMar>
              <w:top w:w="75" w:type="dxa"/>
              <w:start w:w="90" w:type="dxa"/>
              <w:bottom w:w="75" w:type="dxa"/>
              <w:end w:w="90" w:type="dxa"/>
            </w:tcMar>
          </w:tcPr>
          <w:p>
            <w:r>
              <w:t>Raghunātha states that he had purchased six plots for an aggregate Rs.238 and gifted them to Jīva by hiba.</w:t>
            </w:r>
          </w:p>
        </w:tc>
      </w:tr>
      <w:tr>
        <w:trPr>
          <w:cantSplit/>
        </w:trPr>
        <w:tc>
          <w:tcPr>
            <w:tcW w:type="dxa" w:w="2232"/>
            <w:vAlign w:val="top"/>
            <w:tcMar>
              <w:top w:w="75" w:type="dxa"/>
              <w:start w:w="90" w:type="dxa"/>
              <w:bottom w:w="75" w:type="dxa"/>
              <w:end w:w="90" w:type="dxa"/>
            </w:tcMar>
            <w:shd w:fill="D9EAF7"/>
          </w:tcPr>
          <w:p>
            <w:r>
              <w:rPr>
                <w:b/>
                <w:color w:val="1F4D78"/>
              </w:rPr>
              <w:t>PHYSICAL SIGNAL</w:t>
            </w:r>
          </w:p>
        </w:tc>
        <w:tc>
          <w:tcPr>
            <w:tcW w:type="dxa" w:w="6408"/>
            <w:vAlign w:val="top"/>
            <w:tcMar>
              <w:top w:w="75" w:type="dxa"/>
              <w:start w:w="90" w:type="dxa"/>
              <w:bottom w:w="75" w:type="dxa"/>
              <w:end w:w="90" w:type="dxa"/>
            </w:tcMar>
          </w:tcPr>
          <w:p>
            <w:r>
              <w:t>Consolidated legal control of six plots associated with the kuṇḍa estate.</w:t>
            </w:r>
          </w:p>
        </w:tc>
      </w:tr>
      <w:tr>
        <w:trPr>
          <w:cantSplit/>
        </w:trPr>
        <w:tc>
          <w:tcPr>
            <w:tcW w:type="dxa" w:w="2232"/>
            <w:vAlign w:val="top"/>
            <w:tcMar>
              <w:top w:w="75" w:type="dxa"/>
              <w:start w:w="90" w:type="dxa"/>
              <w:bottom w:w="75" w:type="dxa"/>
              <w:end w:w="90" w:type="dxa"/>
            </w:tcMar>
            <w:shd w:fill="D9EAF7"/>
          </w:tcPr>
          <w:p>
            <w:r>
              <w:rPr>
                <w:b/>
                <w:color w:val="1F4D78"/>
              </w:rPr>
              <w:t>PROVES</w:t>
            </w:r>
          </w:p>
        </w:tc>
        <w:tc>
          <w:tcPr>
            <w:tcW w:type="dxa" w:w="6408"/>
            <w:vAlign w:val="top"/>
            <w:tcMar>
              <w:top w:w="75" w:type="dxa"/>
              <w:start w:w="90" w:type="dxa"/>
              <w:bottom w:w="75" w:type="dxa"/>
              <w:end w:w="90" w:type="dxa"/>
            </w:tcMar>
          </w:tcPr>
          <w:p>
            <w:r>
              <w:t>A secure ownership/gift spine and the scale of parcel consolidation by 1588.</w:t>
            </w:r>
          </w:p>
        </w:tc>
      </w:tr>
      <w:tr>
        <w:trPr>
          <w:cantSplit/>
        </w:trPr>
        <w:tc>
          <w:tcPr>
            <w:tcW w:type="dxa" w:w="2232"/>
            <w:vAlign w:val="top"/>
            <w:tcMar>
              <w:top w:w="75" w:type="dxa"/>
              <w:start w:w="90" w:type="dxa"/>
              <w:bottom w:w="75" w:type="dxa"/>
              <w:end w:w="90" w:type="dxa"/>
            </w:tcMar>
            <w:shd w:fill="D9EAF7"/>
          </w:tcPr>
          <w:p>
            <w:r>
              <w:rPr>
                <w:b/>
                <w:color w:val="1F4D78"/>
              </w:rPr>
              <w:t>DOES NOT PROVE</w:t>
            </w:r>
          </w:p>
        </w:tc>
        <w:tc>
          <w:tcPr>
            <w:tcW w:type="dxa" w:w="6408"/>
            <w:vAlign w:val="top"/>
            <w:tcMar>
              <w:top w:w="75" w:type="dxa"/>
              <w:start w:w="90" w:type="dxa"/>
              <w:bottom w:w="75" w:type="dxa"/>
              <w:end w:w="90" w:type="dxa"/>
            </w:tcMar>
          </w:tcPr>
          <w:p>
            <w:r>
              <w:t>The secure clause does not itself say ‘dug the two ponds’ or narrate the works. The reading kolāb-o-chāh and feature identities still require facsimile control.</w:t>
            </w:r>
          </w:p>
        </w:tc>
      </w:tr>
      <w:tr>
        <w:trPr>
          <w:cantSplit/>
        </w:trPr>
        <w:tc>
          <w:tcPr>
            <w:tcW w:type="dxa" w:w="2232"/>
            <w:vAlign w:val="top"/>
            <w:tcMar>
              <w:top w:w="75" w:type="dxa"/>
              <w:start w:w="90" w:type="dxa"/>
              <w:bottom w:w="75" w:type="dxa"/>
              <w:end w:w="90" w:type="dxa"/>
            </w:tcMar>
            <w:shd w:fill="D9EAF7"/>
          </w:tcPr>
          <w:p>
            <w:r>
              <w:rPr>
                <w:b/>
                <w:color w:val="1F4D78"/>
              </w:rPr>
              <w:t>CONTROL STATUS</w:t>
            </w:r>
          </w:p>
        </w:tc>
        <w:tc>
          <w:tcPr>
            <w:tcW w:type="dxa" w:w="6408"/>
            <w:vAlign w:val="top"/>
            <w:tcMar>
              <w:top w:w="75" w:type="dxa"/>
              <w:start w:w="90" w:type="dxa"/>
              <w:bottom w:w="75" w:type="dxa"/>
              <w:end w:w="90" w:type="dxa"/>
            </w:tcMar>
          </w:tcPr>
          <w:p>
            <w:r>
              <w:t>HIGH for legal act/date; excavation inference remains cumulative.</w:t>
            </w:r>
          </w:p>
        </w:tc>
      </w:tr>
    </w:tbl>
    <w:p>
      <w:pPr>
        <w:spacing w:after="100" w:line="252" w:lineRule="auto"/>
      </w:pPr>
    </w:p>
    <w:p>
      <w:pPr>
        <w:pStyle w:val="Heading3"/>
        <w:keepNext/>
      </w:pPr>
      <w:r>
        <w:t>P14 — Retrospective component deeds: remembered micro-topography</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75" w:type="dxa"/>
              <w:start w:w="90" w:type="dxa"/>
              <w:bottom w:w="75" w:type="dxa"/>
              <w:end w:w="90" w:type="dxa"/>
            </w:tcMar>
            <w:shd w:fill="D9EAF7"/>
          </w:tcPr>
          <w:p>
            <w:r>
              <w:rPr>
                <w:b/>
                <w:color w:val="1F4D78"/>
              </w:rPr>
              <w:t>LOCUS / WITNESS</w:t>
            </w:r>
          </w:p>
        </w:tc>
        <w:tc>
          <w:tcPr>
            <w:tcW w:type="dxa" w:w="6408"/>
            <w:vAlign w:val="top"/>
            <w:tcMar>
              <w:top w:w="75" w:type="dxa"/>
              <w:start w:w="90" w:type="dxa"/>
              <w:bottom w:w="75" w:type="dxa"/>
              <w:end w:w="90" w:type="dxa"/>
            </w:tcMar>
          </w:tcPr>
          <w:p>
            <w:r>
              <w:t>Block 1 A02, A04, A05, A07–A09; late or doubtful copies bearing purported 1545–78 transaction dates.</w:t>
            </w:r>
          </w:p>
        </w:tc>
      </w:tr>
      <w:tr>
        <w:trPr>
          <w:cantSplit/>
        </w:trPr>
        <w:tc>
          <w:tcPr>
            <w:tcW w:type="dxa" w:w="2232"/>
            <w:vAlign w:val="top"/>
            <w:tcMar>
              <w:top w:w="75" w:type="dxa"/>
              <w:start w:w="90" w:type="dxa"/>
              <w:bottom w:w="75" w:type="dxa"/>
              <w:end w:w="90" w:type="dxa"/>
            </w:tcMar>
            <w:shd w:fill="D9EAF7"/>
          </w:tcPr>
          <w:p>
            <w:r>
              <w:rPr>
                <w:b/>
                <w:color w:val="1F4D78"/>
              </w:rPr>
              <w:t>LAYER / GENRE</w:t>
            </w:r>
          </w:p>
        </w:tc>
        <w:tc>
          <w:tcPr>
            <w:tcW w:type="dxa" w:w="6408"/>
            <w:vAlign w:val="top"/>
            <w:tcMar>
              <w:top w:w="75" w:type="dxa"/>
              <w:start w:w="90" w:type="dxa"/>
              <w:bottom w:w="75" w:type="dxa"/>
              <w:end w:w="90" w:type="dxa"/>
            </w:tcMar>
          </w:tcPr>
          <w:p>
            <w:r>
              <w:t>D in genre, but LOW for stated transaction dates; retrospective documentary memory.</w:t>
            </w:r>
          </w:p>
        </w:tc>
      </w:tr>
      <w:tr>
        <w:trPr>
          <w:cantSplit/>
        </w:trPr>
        <w:tc>
          <w:tcPr>
            <w:tcW w:type="dxa" w:w="2232"/>
            <w:vAlign w:val="top"/>
            <w:tcMar>
              <w:top w:w="75" w:type="dxa"/>
              <w:start w:w="90" w:type="dxa"/>
              <w:bottom w:w="75" w:type="dxa"/>
              <w:end w:w="90" w:type="dxa"/>
            </w:tcMar>
            <w:shd w:fill="D9EAF7"/>
          </w:tcPr>
          <w:p>
            <w:r>
              <w:rPr>
                <w:b/>
                <w:color w:val="1F4D78"/>
              </w:rPr>
              <w:t>SOURCE WORDING</w:t>
            </w:r>
          </w:p>
        </w:tc>
        <w:tc>
          <w:tcPr>
            <w:tcW w:type="dxa" w:w="6408"/>
            <w:vAlign w:val="top"/>
            <w:tcMar>
              <w:top w:w="75" w:type="dxa"/>
              <w:start w:w="90" w:type="dxa"/>
              <w:bottom w:w="75" w:type="dxa"/>
              <w:end w:w="90" w:type="dxa"/>
            </w:tcMar>
          </w:tcPr>
          <w:p>
            <w:r>
              <w:t>Features include cultivation edge, village/mound, market-garden, scrub, land south of Kṛṣṇa-kuṇḍa, ghāṭ, neem and karail trees, a ‘well of tank,’ tank passage, Gobinda’s well, nullah, hins tree and Mahādeva temple.</w:t>
            </w:r>
          </w:p>
        </w:tc>
      </w:tr>
      <w:tr>
        <w:trPr>
          <w:cantSplit/>
        </w:trPr>
        <w:tc>
          <w:tcPr>
            <w:tcW w:type="dxa" w:w="2232"/>
            <w:vAlign w:val="top"/>
            <w:tcMar>
              <w:top w:w="75" w:type="dxa"/>
              <w:start w:w="90" w:type="dxa"/>
              <w:bottom w:w="75" w:type="dxa"/>
              <w:end w:w="90" w:type="dxa"/>
            </w:tcMar>
            <w:shd w:fill="D9EAF7"/>
          </w:tcPr>
          <w:p>
            <w:r>
              <w:rPr>
                <w:b/>
                <w:color w:val="1F4D78"/>
              </w:rPr>
              <w:t>PHYSICAL SIGNAL</w:t>
            </w:r>
          </w:p>
        </w:tc>
        <w:tc>
          <w:tcPr>
            <w:tcW w:type="dxa" w:w="6408"/>
            <w:vAlign w:val="top"/>
            <w:tcMar>
              <w:top w:w="75" w:type="dxa"/>
              <w:start w:w="90" w:type="dxa"/>
              <w:bottom w:w="75" w:type="dxa"/>
              <w:end w:w="90" w:type="dxa"/>
            </w:tcMar>
          </w:tcPr>
          <w:p>
            <w:r>
              <w:t>Fine-grained parcel boundaries and a remembered tank-edge landscape.</w:t>
            </w:r>
          </w:p>
        </w:tc>
      </w:tr>
      <w:tr>
        <w:trPr>
          <w:cantSplit/>
        </w:trPr>
        <w:tc>
          <w:tcPr>
            <w:tcW w:type="dxa" w:w="2232"/>
            <w:vAlign w:val="top"/>
            <w:tcMar>
              <w:top w:w="75" w:type="dxa"/>
              <w:start w:w="90" w:type="dxa"/>
              <w:bottom w:w="75" w:type="dxa"/>
              <w:end w:w="90" w:type="dxa"/>
            </w:tcMar>
            <w:shd w:fill="D9EAF7"/>
          </w:tcPr>
          <w:p>
            <w:r>
              <w:rPr>
                <w:b/>
                <w:color w:val="1F4D78"/>
              </w:rPr>
              <w:t>PROVES</w:t>
            </w:r>
          </w:p>
        </w:tc>
        <w:tc>
          <w:tcPr>
            <w:tcW w:type="dxa" w:w="6408"/>
            <w:vAlign w:val="top"/>
            <w:tcMar>
              <w:top w:w="75" w:type="dxa"/>
              <w:start w:w="90" w:type="dxa"/>
              <w:bottom w:w="75" w:type="dxa"/>
              <w:end w:w="90" w:type="dxa"/>
            </w:tcMar>
          </w:tcPr>
          <w:p>
            <w:r>
              <w:t>Possible continuity of specific landmarks preserved in the later deed dossier, especially where A10 securely repeats them.</w:t>
            </w:r>
          </w:p>
        </w:tc>
      </w:tr>
      <w:tr>
        <w:trPr>
          <w:cantSplit/>
        </w:trPr>
        <w:tc>
          <w:tcPr>
            <w:tcW w:type="dxa" w:w="2232"/>
            <w:vAlign w:val="top"/>
            <w:tcMar>
              <w:top w:w="75" w:type="dxa"/>
              <w:start w:w="90" w:type="dxa"/>
              <w:bottom w:w="75" w:type="dxa"/>
              <w:end w:w="90" w:type="dxa"/>
            </w:tcMar>
            <w:shd w:fill="D9EAF7"/>
          </w:tcPr>
          <w:p>
            <w:r>
              <w:rPr>
                <w:b/>
                <w:color w:val="1F4D78"/>
              </w:rPr>
              <w:t>DOES NOT PROVE</w:t>
            </w:r>
          </w:p>
        </w:tc>
        <w:tc>
          <w:tcPr>
            <w:tcW w:type="dxa" w:w="6408"/>
            <w:vAlign w:val="top"/>
            <w:tcMar>
              <w:top w:w="75" w:type="dxa"/>
              <w:start w:w="90" w:type="dxa"/>
              <w:bottom w:w="75" w:type="dxa"/>
              <w:end w:w="90" w:type="dxa"/>
            </w:tcMar>
          </w:tcPr>
          <w:p>
            <w:r>
              <w:t>Cannot securely date the described configuration to the 1530s–70s; repeated wording and anachronisms prevent a continuous early cadastral reconstruction.</w:t>
            </w:r>
          </w:p>
        </w:tc>
      </w:tr>
      <w:tr>
        <w:trPr>
          <w:cantSplit/>
        </w:trPr>
        <w:tc>
          <w:tcPr>
            <w:tcW w:type="dxa" w:w="2232"/>
            <w:vAlign w:val="top"/>
            <w:tcMar>
              <w:top w:w="75" w:type="dxa"/>
              <w:start w:w="90" w:type="dxa"/>
              <w:bottom w:w="75" w:type="dxa"/>
              <w:end w:w="90" w:type="dxa"/>
            </w:tcMar>
            <w:shd w:fill="D9EAF7"/>
          </w:tcPr>
          <w:p>
            <w:r>
              <w:rPr>
                <w:b/>
                <w:color w:val="1F4D78"/>
              </w:rPr>
              <w:t>CONTROL STATUS</w:t>
            </w:r>
          </w:p>
        </w:tc>
        <w:tc>
          <w:tcPr>
            <w:tcW w:type="dxa" w:w="6408"/>
            <w:vAlign w:val="top"/>
            <w:tcMar>
              <w:top w:w="75" w:type="dxa"/>
              <w:start w:w="90" w:type="dxa"/>
              <w:bottom w:w="75" w:type="dxa"/>
              <w:end w:w="90" w:type="dxa"/>
            </w:tcMar>
          </w:tcPr>
          <w:p>
            <w:r>
              <w:t>LOW for purported dates; MEDIUM only as retrospective topographic memory corroborated by A10.</w:t>
            </w:r>
          </w:p>
        </w:tc>
      </w:tr>
    </w:tbl>
    <w:p>
      <w:pPr>
        <w:spacing w:after="100" w:line="252" w:lineRule="auto"/>
      </w:pPr>
    </w:p>
    <w:p>
      <w:pPr>
        <w:pStyle w:val="Heading3"/>
        <w:keepNext/>
      </w:pPr>
      <w:r>
        <w:t>P15 — Entwistle: modern source-history and physical-reality control</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75" w:type="dxa"/>
              <w:start w:w="90" w:type="dxa"/>
              <w:bottom w:w="75" w:type="dxa"/>
              <w:end w:w="90" w:type="dxa"/>
            </w:tcMar>
            <w:shd w:fill="D9EAF7"/>
          </w:tcPr>
          <w:p>
            <w:r>
              <w:rPr>
                <w:b/>
                <w:color w:val="1F4D78"/>
              </w:rPr>
              <w:t>LOCUS / WITNESS</w:t>
            </w:r>
          </w:p>
        </w:tc>
        <w:tc>
          <w:tcPr>
            <w:tcW w:type="dxa" w:w="6408"/>
            <w:vAlign w:val="top"/>
            <w:tcMar>
              <w:top w:w="75" w:type="dxa"/>
              <w:start w:w="90" w:type="dxa"/>
              <w:bottom w:w="75" w:type="dxa"/>
              <w:end w:w="90" w:type="dxa"/>
            </w:tcMar>
          </w:tcPr>
          <w:p>
            <w:r>
              <w:t>Alan W. Entwistle, Braj: Centre of Krishna Pilgrimage, relevant discussions at printed pp.257–258 and 338–340.</w:t>
            </w:r>
          </w:p>
        </w:tc>
      </w:tr>
      <w:tr>
        <w:trPr>
          <w:cantSplit/>
        </w:trPr>
        <w:tc>
          <w:tcPr>
            <w:tcW w:type="dxa" w:w="2232"/>
            <w:vAlign w:val="top"/>
            <w:tcMar>
              <w:top w:w="75" w:type="dxa"/>
              <w:start w:w="90" w:type="dxa"/>
              <w:bottom w:w="75" w:type="dxa"/>
              <w:end w:w="90" w:type="dxa"/>
            </w:tcMar>
            <w:shd w:fill="D9EAF7"/>
          </w:tcPr>
          <w:p>
            <w:r>
              <w:rPr>
                <w:b/>
                <w:color w:val="1F4D78"/>
              </w:rPr>
              <w:t>LAYER / GENRE</w:t>
            </w:r>
          </w:p>
        </w:tc>
        <w:tc>
          <w:tcPr>
            <w:tcW w:type="dxa" w:w="6408"/>
            <w:vAlign w:val="top"/>
            <w:tcMar>
              <w:top w:w="75" w:type="dxa"/>
              <w:start w:w="90" w:type="dxa"/>
              <w:bottom w:w="75" w:type="dxa"/>
              <w:end w:w="90" w:type="dxa"/>
            </w:tcMar>
          </w:tcPr>
          <w:p>
            <w:r>
              <w:t>D — modern scholarly synthesis.</w:t>
            </w:r>
          </w:p>
        </w:tc>
      </w:tr>
      <w:tr>
        <w:trPr>
          <w:cantSplit/>
        </w:trPr>
        <w:tc>
          <w:tcPr>
            <w:tcW w:type="dxa" w:w="2232"/>
            <w:vAlign w:val="top"/>
            <w:tcMar>
              <w:top w:w="75" w:type="dxa"/>
              <w:start w:w="90" w:type="dxa"/>
              <w:bottom w:w="75" w:type="dxa"/>
              <w:end w:w="90" w:type="dxa"/>
            </w:tcMar>
            <w:shd w:fill="D9EAF7"/>
          </w:tcPr>
          <w:p>
            <w:r>
              <w:rPr>
                <w:b/>
                <w:color w:val="1F4D78"/>
              </w:rPr>
              <w:t>SOURCE WORDING</w:t>
            </w:r>
          </w:p>
        </w:tc>
        <w:tc>
          <w:tcPr>
            <w:tcW w:type="dxa" w:w="6408"/>
            <w:vAlign w:val="top"/>
            <w:tcMar>
              <w:top w:w="75" w:type="dxa"/>
              <w:start w:w="90" w:type="dxa"/>
              <w:bottom w:w="75" w:type="dxa"/>
              <w:end w:w="90" w:type="dxa"/>
            </w:tcMar>
          </w:tcPr>
          <w:p>
            <w:r>
              <w:t>Entwistle compares Varāha, CC, later itineraries and idealized līlā texts; he notes the paddy-field discovery and distinguishes sacred-literary geography from physical history. He also places later step/causeway works in a later period.</w:t>
            </w:r>
          </w:p>
        </w:tc>
      </w:tr>
      <w:tr>
        <w:trPr>
          <w:cantSplit/>
        </w:trPr>
        <w:tc>
          <w:tcPr>
            <w:tcW w:type="dxa" w:w="2232"/>
            <w:vAlign w:val="top"/>
            <w:tcMar>
              <w:top w:w="75" w:type="dxa"/>
              <w:start w:w="90" w:type="dxa"/>
              <w:bottom w:w="75" w:type="dxa"/>
              <w:end w:w="90" w:type="dxa"/>
            </w:tcMar>
            <w:shd w:fill="D9EAF7"/>
          </w:tcPr>
          <w:p>
            <w:r>
              <w:rPr>
                <w:b/>
                <w:color w:val="1F4D78"/>
              </w:rPr>
              <w:t>PHYSICAL SIGNAL</w:t>
            </w:r>
          </w:p>
        </w:tc>
        <w:tc>
          <w:tcPr>
            <w:tcW w:type="dxa" w:w="6408"/>
            <w:vAlign w:val="top"/>
            <w:tcMar>
              <w:top w:w="75" w:type="dxa"/>
              <w:start w:w="90" w:type="dxa"/>
              <w:bottom w:w="75" w:type="dxa"/>
              <w:end w:w="90" w:type="dxa"/>
            </w:tcMar>
          </w:tcPr>
          <w:p>
            <w:r>
              <w:t>Historiographic separation of textual ideal, pilgrimage localization and later built form.</w:t>
            </w:r>
          </w:p>
        </w:tc>
      </w:tr>
      <w:tr>
        <w:trPr>
          <w:cantSplit/>
        </w:trPr>
        <w:tc>
          <w:tcPr>
            <w:tcW w:type="dxa" w:w="2232"/>
            <w:vAlign w:val="top"/>
            <w:tcMar>
              <w:top w:w="75" w:type="dxa"/>
              <w:start w:w="90" w:type="dxa"/>
              <w:bottom w:w="75" w:type="dxa"/>
              <w:end w:w="90" w:type="dxa"/>
            </w:tcMar>
            <w:shd w:fill="D9EAF7"/>
          </w:tcPr>
          <w:p>
            <w:r>
              <w:rPr>
                <w:b/>
                <w:color w:val="1F4D78"/>
              </w:rPr>
              <w:t>PROVES</w:t>
            </w:r>
          </w:p>
        </w:tc>
        <w:tc>
          <w:tcPr>
            <w:tcW w:type="dxa" w:w="6408"/>
            <w:vAlign w:val="top"/>
            <w:tcMar>
              <w:top w:w="75" w:type="dxa"/>
              <w:start w:w="90" w:type="dxa"/>
              <w:bottom w:w="75" w:type="dxa"/>
              <w:end w:w="90" w:type="dxa"/>
            </w:tcMar>
          </w:tcPr>
          <w:p>
            <w:r>
              <w:t>A useful source map and caution against projecting later architecture or līlā geography backward.</w:t>
            </w:r>
          </w:p>
        </w:tc>
      </w:tr>
      <w:tr>
        <w:trPr>
          <w:cantSplit/>
        </w:trPr>
        <w:tc>
          <w:tcPr>
            <w:tcW w:type="dxa" w:w="2232"/>
            <w:vAlign w:val="top"/>
            <w:tcMar>
              <w:top w:w="75" w:type="dxa"/>
              <w:start w:w="90" w:type="dxa"/>
              <w:bottom w:w="75" w:type="dxa"/>
              <w:end w:w="90" w:type="dxa"/>
            </w:tcMar>
            <w:shd w:fill="D9EAF7"/>
          </w:tcPr>
          <w:p>
            <w:r>
              <w:rPr>
                <w:b/>
                <w:color w:val="1F4D78"/>
              </w:rPr>
              <w:t>DOES NOT PROVE</w:t>
            </w:r>
          </w:p>
        </w:tc>
        <w:tc>
          <w:tcPr>
            <w:tcW w:type="dxa" w:w="6408"/>
            <w:vAlign w:val="top"/>
            <w:tcMar>
              <w:top w:w="75" w:type="dxa"/>
              <w:start w:w="90" w:type="dxa"/>
              <w:bottom w:w="75" w:type="dxa"/>
              <w:end w:w="90" w:type="dxa"/>
            </w:tcMar>
          </w:tcPr>
          <w:p>
            <w:r>
              <w:t>His inferences do not replace the underlying texts; claims about what CC’s author believed must be labeled scholarly interpretation.</w:t>
            </w:r>
          </w:p>
        </w:tc>
      </w:tr>
      <w:tr>
        <w:trPr>
          <w:cantSplit/>
        </w:trPr>
        <w:tc>
          <w:tcPr>
            <w:tcW w:type="dxa" w:w="2232"/>
            <w:vAlign w:val="top"/>
            <w:tcMar>
              <w:top w:w="75" w:type="dxa"/>
              <w:start w:w="90" w:type="dxa"/>
              <w:bottom w:w="75" w:type="dxa"/>
              <w:end w:w="90" w:type="dxa"/>
            </w:tcMar>
            <w:shd w:fill="D9EAF7"/>
          </w:tcPr>
          <w:p>
            <w:r>
              <w:rPr>
                <w:b/>
                <w:color w:val="1F4D78"/>
              </w:rPr>
              <w:t>CONTROL STATUS</w:t>
            </w:r>
          </w:p>
        </w:tc>
        <w:tc>
          <w:tcPr>
            <w:tcW w:type="dxa" w:w="6408"/>
            <w:vAlign w:val="top"/>
            <w:tcMar>
              <w:top w:w="75" w:type="dxa"/>
              <w:start w:w="90" w:type="dxa"/>
              <w:bottom w:w="75" w:type="dxa"/>
              <w:end w:w="90" w:type="dxa"/>
            </w:tcMar>
          </w:tcPr>
          <w:p>
            <w:r>
              <w:t>HIGH as secondary source control; not an independent early witness.</w:t>
            </w:r>
          </w:p>
        </w:tc>
      </w:tr>
    </w:tbl>
    <w:p>
      <w:pPr>
        <w:spacing w:after="100" w:line="252" w:lineRule="auto"/>
      </w:pPr>
    </w:p>
    <w:p>
      <w:pPr>
        <w:pStyle w:val="Heading3"/>
        <w:keepNext/>
      </w:pPr>
      <w:r>
        <w:t>P16 — Later local synthesis: Ananta Dāsa and inherited claims</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75" w:type="dxa"/>
              <w:start w:w="90" w:type="dxa"/>
              <w:bottom w:w="75" w:type="dxa"/>
              <w:end w:w="90" w:type="dxa"/>
            </w:tcMar>
            <w:shd w:fill="D9EAF7"/>
          </w:tcPr>
          <w:p>
            <w:r>
              <w:rPr>
                <w:b/>
                <w:color w:val="1F4D78"/>
              </w:rPr>
              <w:t>LOCUS / WITNESS</w:t>
            </w:r>
          </w:p>
        </w:tc>
        <w:tc>
          <w:tcPr>
            <w:tcW w:type="dxa" w:w="6408"/>
            <w:vAlign w:val="top"/>
            <w:tcMar>
              <w:top w:w="75" w:type="dxa"/>
              <w:start w:w="90" w:type="dxa"/>
              <w:bottom w:w="75" w:type="dxa"/>
              <w:end w:w="90" w:type="dxa"/>
            </w:tcMar>
          </w:tcPr>
          <w:p>
            <w:r>
              <w:t>Ananta Dāsa Bābājī, The Glory and Heritage of Radhakund; local PDF inspected in relevant sections.</w:t>
            </w:r>
          </w:p>
        </w:tc>
      </w:tr>
      <w:tr>
        <w:trPr>
          <w:cantSplit/>
        </w:trPr>
        <w:tc>
          <w:tcPr>
            <w:tcW w:type="dxa" w:w="2232"/>
            <w:vAlign w:val="top"/>
            <w:tcMar>
              <w:top w:w="75" w:type="dxa"/>
              <w:start w:w="90" w:type="dxa"/>
              <w:bottom w:w="75" w:type="dxa"/>
              <w:end w:w="90" w:type="dxa"/>
            </w:tcMar>
            <w:shd w:fill="D9EAF7"/>
          </w:tcPr>
          <w:p>
            <w:r>
              <w:rPr>
                <w:b/>
                <w:color w:val="1F4D78"/>
              </w:rPr>
              <w:t>LAYER / GENRE</w:t>
            </w:r>
          </w:p>
        </w:tc>
        <w:tc>
          <w:tcPr>
            <w:tcW w:type="dxa" w:w="6408"/>
            <w:vAlign w:val="top"/>
            <w:tcMar>
              <w:top w:w="75" w:type="dxa"/>
              <w:start w:w="90" w:type="dxa"/>
              <w:bottom w:w="75" w:type="dxa"/>
              <w:end w:w="90" w:type="dxa"/>
            </w:tcMar>
          </w:tcPr>
          <w:p>
            <w:r>
              <w:t>C — later/local devotional synthesis.</w:t>
            </w:r>
          </w:p>
        </w:tc>
      </w:tr>
      <w:tr>
        <w:trPr>
          <w:cantSplit/>
        </w:trPr>
        <w:tc>
          <w:tcPr>
            <w:tcW w:type="dxa" w:w="2232"/>
            <w:vAlign w:val="top"/>
            <w:tcMar>
              <w:top w:w="75" w:type="dxa"/>
              <w:start w:w="90" w:type="dxa"/>
              <w:bottom w:w="75" w:type="dxa"/>
              <w:end w:w="90" w:type="dxa"/>
            </w:tcMar>
            <w:shd w:fill="D9EAF7"/>
          </w:tcPr>
          <w:p>
            <w:r>
              <w:rPr>
                <w:b/>
                <w:color w:val="1F4D78"/>
              </w:rPr>
              <w:t>SOURCE WORDING</w:t>
            </w:r>
          </w:p>
        </w:tc>
        <w:tc>
          <w:tcPr>
            <w:tcW w:type="dxa" w:w="6408"/>
            <w:vAlign w:val="top"/>
            <w:tcMar>
              <w:top w:w="75" w:type="dxa"/>
              <w:start w:w="90" w:type="dxa"/>
              <w:bottom w:w="75" w:type="dxa"/>
              <w:end w:w="90" w:type="dxa"/>
            </w:tcMar>
          </w:tcPr>
          <w:p>
            <w:r>
              <w:t>The work retells CC’s paddy fields, Bhakti-ratnākara’s development narrative and later deed interpretations.</w:t>
            </w:r>
          </w:p>
        </w:tc>
      </w:tr>
      <w:tr>
        <w:trPr>
          <w:cantSplit/>
        </w:trPr>
        <w:tc>
          <w:tcPr>
            <w:tcW w:type="dxa" w:w="2232"/>
            <w:vAlign w:val="top"/>
            <w:tcMar>
              <w:top w:w="75" w:type="dxa"/>
              <w:start w:w="90" w:type="dxa"/>
              <w:bottom w:w="75" w:type="dxa"/>
              <w:end w:w="90" w:type="dxa"/>
            </w:tcMar>
            <w:shd w:fill="D9EAF7"/>
          </w:tcPr>
          <w:p>
            <w:r>
              <w:rPr>
                <w:b/>
                <w:color w:val="1F4D78"/>
              </w:rPr>
              <w:t>PHYSICAL SIGNAL</w:t>
            </w:r>
          </w:p>
        </w:tc>
        <w:tc>
          <w:tcPr>
            <w:tcW w:type="dxa" w:w="6408"/>
            <w:vAlign w:val="top"/>
            <w:tcMar>
              <w:top w:w="75" w:type="dxa"/>
              <w:start w:w="90" w:type="dxa"/>
              <w:bottom w:w="75" w:type="dxa"/>
              <w:end w:w="90" w:type="dxa"/>
            </w:tcMar>
          </w:tcPr>
          <w:p>
            <w:r>
              <w:t>Living local synthesis of recognition, excavation and sacred heritage.</w:t>
            </w:r>
          </w:p>
        </w:tc>
      </w:tr>
      <w:tr>
        <w:trPr>
          <w:cantSplit/>
        </w:trPr>
        <w:tc>
          <w:tcPr>
            <w:tcW w:type="dxa" w:w="2232"/>
            <w:vAlign w:val="top"/>
            <w:tcMar>
              <w:top w:w="75" w:type="dxa"/>
              <w:start w:w="90" w:type="dxa"/>
              <w:bottom w:w="75" w:type="dxa"/>
              <w:end w:w="90" w:type="dxa"/>
            </w:tcMar>
            <w:shd w:fill="D9EAF7"/>
          </w:tcPr>
          <w:p>
            <w:r>
              <w:rPr>
                <w:b/>
                <w:color w:val="1F4D78"/>
              </w:rPr>
              <w:t>PROVES</w:t>
            </w:r>
          </w:p>
        </w:tc>
        <w:tc>
          <w:tcPr>
            <w:tcW w:type="dxa" w:w="6408"/>
            <w:vAlign w:val="top"/>
            <w:tcMar>
              <w:top w:w="75" w:type="dxa"/>
              <w:start w:w="90" w:type="dxa"/>
              <w:bottom w:w="75" w:type="dxa"/>
              <w:end w:w="90" w:type="dxa"/>
            </w:tcMar>
          </w:tcPr>
          <w:p>
            <w:r>
              <w:t>Reception history and continuity of the devotional account.</w:t>
            </w:r>
          </w:p>
        </w:tc>
      </w:tr>
      <w:tr>
        <w:trPr>
          <w:cantSplit/>
        </w:trPr>
        <w:tc>
          <w:tcPr>
            <w:tcW w:type="dxa" w:w="2232"/>
            <w:vAlign w:val="top"/>
            <w:tcMar>
              <w:top w:w="75" w:type="dxa"/>
              <w:start w:w="90" w:type="dxa"/>
              <w:bottom w:w="75" w:type="dxa"/>
              <w:end w:w="90" w:type="dxa"/>
            </w:tcMar>
            <w:shd w:fill="D9EAF7"/>
          </w:tcPr>
          <w:p>
            <w:r>
              <w:rPr>
                <w:b/>
                <w:color w:val="1F4D78"/>
              </w:rPr>
              <w:t>DOES NOT PROVE</w:t>
            </w:r>
          </w:p>
        </w:tc>
        <w:tc>
          <w:tcPr>
            <w:tcW w:type="dxa" w:w="6408"/>
            <w:vAlign w:val="top"/>
            <w:tcMar>
              <w:top w:w="75" w:type="dxa"/>
              <w:start w:w="90" w:type="dxa"/>
              <w:bottom w:w="75" w:type="dxa"/>
              <w:end w:w="90" w:type="dxa"/>
            </w:tcMar>
          </w:tcPr>
          <w:p>
            <w:r>
              <w:t>Not independent corroboration for early topography; deed conclusions must be updated by Block 1’s source criticism.</w:t>
            </w:r>
          </w:p>
        </w:tc>
      </w:tr>
      <w:tr>
        <w:trPr>
          <w:cantSplit/>
        </w:trPr>
        <w:tc>
          <w:tcPr>
            <w:tcW w:type="dxa" w:w="2232"/>
            <w:vAlign w:val="top"/>
            <w:tcMar>
              <w:top w:w="75" w:type="dxa"/>
              <w:start w:w="90" w:type="dxa"/>
              <w:bottom w:w="75" w:type="dxa"/>
              <w:end w:w="90" w:type="dxa"/>
            </w:tcMar>
            <w:shd w:fill="D9EAF7"/>
          </w:tcPr>
          <w:p>
            <w:r>
              <w:rPr>
                <w:b/>
                <w:color w:val="1F4D78"/>
              </w:rPr>
              <w:t>CONTROL STATUS</w:t>
            </w:r>
          </w:p>
        </w:tc>
        <w:tc>
          <w:tcPr>
            <w:tcW w:type="dxa" w:w="6408"/>
            <w:vAlign w:val="top"/>
            <w:tcMar>
              <w:top w:w="75" w:type="dxa"/>
              <w:start w:w="90" w:type="dxa"/>
              <w:bottom w:w="75" w:type="dxa"/>
              <w:end w:w="90" w:type="dxa"/>
            </w:tcMar>
          </w:tcPr>
          <w:p>
            <w:r>
              <w:t>MEDIUM as C-layer reception evidence; LOW as independent historical proof.</w:t>
            </w:r>
          </w:p>
        </w:tc>
      </w:tr>
    </w:tbl>
    <w:p>
      <w:pPr>
        <w:spacing w:after="100" w:line="252" w:lineRule="auto"/>
      </w:pPr>
    </w:p>
    <w:p>
      <w:pPr>
        <w:pStyle w:val="Heading1"/>
        <w:keepNext/>
      </w:pPr>
      <w:r>
        <w:t>12. Controlled chronological reconstruction</w:t>
      </w:r>
    </w:p>
    <w:tbl>
      <w:tblPr>
        <w:tblStyle w:val="TableGrid"/>
        <w:tblW w:type="auto" w:w="0"/>
        <w:tblLook w:firstColumn="1" w:firstRow="1" w:lastColumn="0" w:lastRow="0" w:noHBand="0" w:noVBand="1" w:val="04A0"/>
      </w:tblPr>
      <w:tblGrid>
        <w:gridCol w:w="9360"/>
      </w:tblGrid>
      <w:tr>
        <w:tc>
          <w:tcPr>
            <w:tcW w:type="dxa" w:w="9360"/>
            <w:shd w:fill="E2F0D9"/>
            <w:tcMar>
              <w:top w:w="120" w:type="dxa"/>
              <w:start w:w="140" w:type="dxa"/>
              <w:bottom w:w="120" w:type="dxa"/>
              <w:end w:w="140" w:type="dxa"/>
            </w:tcMar>
          </w:tcPr>
          <w:p>
            <w:r>
              <w:rPr>
                <w:b/>
                <w:color w:val="1F4D78"/>
              </w:rPr>
              <w:t xml:space="preserve">RECONSTRUCTION: </w:t>
            </w:r>
            <w:r>
              <w:t>The recoverable history is a sequence of changing land use and recognition, not a single snapshot. The strongest evidence supports an early inhabited agricultural setting, followed by a late-sixteenth-century mixed village-edge estate and substantial restoration/excavation.</w:t>
            </w:r>
          </w:p>
        </w:tc>
      </w:tr>
    </w:tbl>
    <w:p>
      <w:pPr>
        <w:spacing w:after="100" w:line="252" w:lineRule="auto"/>
      </w:pPr>
    </w:p>
    <w:p>
      <w:pPr>
        <w:keepLines/>
        <w:spacing w:after="100" w:line="252" w:lineRule="auto"/>
      </w:pPr>
      <w:r>
        <w:rPr>
          <w:b/>
          <w:color w:val="1F4D78"/>
        </w:rPr>
        <w:t xml:space="preserve">Stage 0 — sacred-event template. </w:t>
      </w:r>
      <w:r>
        <w:t>Bhāgavata supplies Ariṣṭa’s death. Varāha and later commentarial tradition attach the paired sacred waters and elaborate their appearance. This is theological aetiology, not ordinary chronology.</w:t>
      </w:r>
    </w:p>
    <w:p>
      <w:pPr>
        <w:keepLines/>
        <w:spacing w:after="100" w:line="252" w:lineRule="auto"/>
      </w:pPr>
      <w:r>
        <w:rPr>
          <w:b/>
          <w:color w:val="1F4D78"/>
        </w:rPr>
        <w:t xml:space="preserve">Stage 1 — early-16th-century encounter. </w:t>
      </w:r>
      <w:r>
        <w:t>CC places Mahāprabhu in inhabited Āriṭ. Two paddy fields held a little water, but the sacred identification was locally obscured. ‘Rediscovery’ is therefore best defined as authoritative Gauḍīya reidentification and ritual activation, not construction.</w:t>
      </w:r>
    </w:p>
    <w:p>
      <w:pPr>
        <w:keepLines/>
        <w:spacing w:after="100" w:line="252" w:lineRule="auto"/>
      </w:pPr>
      <w:r>
        <w:rPr>
          <w:b/>
          <w:color w:val="1F4D78"/>
        </w:rPr>
        <w:t xml:space="preserve">Stage 2 — maturing localization. </w:t>
      </w:r>
      <w:r>
        <w:t>Rūpa’s māhātmya and early Vraja pilgrimage literature stabilize the tīrthas’ scriptural rank, names and relational sacred geography. These works show canonical and ritual development but do not by themselves date physical works.</w:t>
      </w:r>
    </w:p>
    <w:p>
      <w:pPr>
        <w:keepLines/>
        <w:spacing w:after="100" w:line="252" w:lineRule="auto"/>
      </w:pPr>
      <w:r>
        <w:rPr>
          <w:b/>
          <w:color w:val="1F4D78"/>
        </w:rPr>
        <w:t xml:space="preserve">Stage 3 — late-16th-century mixed landscape. </w:t>
      </w:r>
      <w:r>
        <w:t>The secure 1579 declaration shows cultivated margins, gardens, wasteland parcels, settlement markers, wells, a channel, trees, a Mahādeva shrine and access vocabulary around the tank estate. Agriculture and wasteland coexisted in different parcels.</w:t>
      </w:r>
    </w:p>
    <w:p>
      <w:pPr>
        <w:keepLines/>
        <w:spacing w:after="100" w:line="252" w:lineRule="auto"/>
      </w:pPr>
      <w:r>
        <w:rPr>
          <w:b/>
          <w:color w:val="1F4D78"/>
        </w:rPr>
        <w:t xml:space="preserve">Stage 4 — acquisition and transformation. </w:t>
      </w:r>
      <w:r>
        <w:t>The 1588 declaration securely records consolidation and gift of six plots. Bhakti-ratnākara’s paṅkoddhāra/khodāila vocabulary and the documentary dossier converge on substantial Raghunātha-era restoration/excavation, although the works are not narrated in the 1588 hiba itself.</w:t>
      </w:r>
    </w:p>
    <w:p>
      <w:pPr>
        <w:keepLines/>
        <w:spacing w:after="100" w:line="252" w:lineRule="auto"/>
      </w:pPr>
      <w:r>
        <w:rPr>
          <w:b/>
          <w:color w:val="1F4D78"/>
        </w:rPr>
        <w:t xml:space="preserve">Stage 5 — institutionalized sacred complex. </w:t>
      </w:r>
      <w:r>
        <w:t>The 1598 grant and later documentary sequence belong to the next horizon: temple support, legal continuity and progressively formalized built form. These provide a terminus for Block 2, not evidence to be projected backward.</w:t>
      </w:r>
    </w:p>
    <w:p>
      <w:pPr>
        <w:pStyle w:val="Heading1"/>
        <w:keepNext/>
      </w:pPr>
      <w:r>
        <w:t>13. Land-use and topography matrix</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656"/>
            <w:shd w:fill="1F4D78"/>
            <w:tcMar>
              <w:top w:w="70" w:type="dxa"/>
              <w:start w:w="70" w:type="dxa"/>
              <w:bottom w:w="70" w:type="dxa"/>
              <w:end w:w="70" w:type="dxa"/>
            </w:tcMar>
          </w:tcPr>
          <w:p>
            <w:r>
              <w:rPr>
                <w:b/>
                <w:color w:val="FFFFFF"/>
                <w:sz w:val="17"/>
              </w:rPr>
              <w:t>Feature</w:t>
            </w:r>
          </w:p>
        </w:tc>
        <w:tc>
          <w:tcPr>
            <w:tcW w:type="dxa" w:w="2016"/>
            <w:shd w:fill="1F4D78"/>
            <w:tcMar>
              <w:top w:w="70" w:type="dxa"/>
              <w:start w:w="70" w:type="dxa"/>
              <w:bottom w:w="70" w:type="dxa"/>
              <w:end w:w="70" w:type="dxa"/>
            </w:tcMar>
          </w:tcPr>
          <w:p>
            <w:r>
              <w:rPr>
                <w:b/>
                <w:color w:val="FFFFFF"/>
                <w:sz w:val="17"/>
              </w:rPr>
              <w:t>Earliest secure witness</w:t>
            </w:r>
          </w:p>
        </w:tc>
        <w:tc>
          <w:tcPr>
            <w:tcW w:type="dxa" w:w="3096"/>
            <w:shd w:fill="1F4D78"/>
            <w:tcMar>
              <w:top w:w="70" w:type="dxa"/>
              <w:start w:w="70" w:type="dxa"/>
              <w:bottom w:w="70" w:type="dxa"/>
              <w:end w:w="70" w:type="dxa"/>
            </w:tcMar>
          </w:tcPr>
          <w:p>
            <w:r>
              <w:rPr>
                <w:b/>
                <w:color w:val="FFFFFF"/>
                <w:sz w:val="17"/>
              </w:rPr>
              <w:t>Safe inference</w:t>
            </w:r>
          </w:p>
        </w:tc>
        <w:tc>
          <w:tcPr>
            <w:tcW w:type="dxa" w:w="2592"/>
            <w:shd w:fill="1F4D78"/>
            <w:tcMar>
              <w:top w:w="70" w:type="dxa"/>
              <w:start w:w="70" w:type="dxa"/>
              <w:bottom w:w="70" w:type="dxa"/>
              <w:end w:w="70" w:type="dxa"/>
            </w:tcMar>
          </w:tcPr>
          <w:p>
            <w:r>
              <w:rPr>
                <w:b/>
                <w:color w:val="FFFFFF"/>
                <w:sz w:val="17"/>
              </w:rPr>
              <w:t>Control limit</w:t>
            </w:r>
          </w:p>
        </w:tc>
      </w:tr>
      <w:tr>
        <w:trPr>
          <w:cantSplit/>
        </w:trPr>
        <w:tc>
          <w:tcPr>
            <w:tcW w:type="dxa" w:w="1656"/>
            <w:tcMar>
              <w:top w:w="60" w:type="dxa"/>
              <w:start w:w="65" w:type="dxa"/>
              <w:bottom w:w="60" w:type="dxa"/>
              <w:end w:w="65" w:type="dxa"/>
            </w:tcMar>
          </w:tcPr>
          <w:p>
            <w:r>
              <w:rPr>
                <w:sz w:val="17"/>
              </w:rPr>
              <w:t>Inhabited Āriṭ</w:t>
            </w:r>
          </w:p>
        </w:tc>
        <w:tc>
          <w:tcPr>
            <w:tcW w:type="dxa" w:w="2016"/>
            <w:tcMar>
              <w:top w:w="60" w:type="dxa"/>
              <w:start w:w="65" w:type="dxa"/>
              <w:bottom w:w="60" w:type="dxa"/>
              <w:end w:w="65" w:type="dxa"/>
            </w:tcMar>
          </w:tcPr>
          <w:p>
            <w:r>
              <w:rPr>
                <w:sz w:val="17"/>
              </w:rPr>
              <w:t>CC Madhya 18.3–4</w:t>
            </w:r>
          </w:p>
        </w:tc>
        <w:tc>
          <w:tcPr>
            <w:tcW w:type="dxa" w:w="3096"/>
            <w:tcMar>
              <w:top w:w="60" w:type="dxa"/>
              <w:start w:w="65" w:type="dxa"/>
              <w:bottom w:w="60" w:type="dxa"/>
              <w:end w:w="65" w:type="dxa"/>
            </w:tcMar>
          </w:tcPr>
          <w:p>
            <w:r>
              <w:rPr>
                <w:sz w:val="17"/>
              </w:rPr>
              <w:t>A functioning village existed at the early encounter</w:t>
            </w:r>
          </w:p>
        </w:tc>
        <w:tc>
          <w:tcPr>
            <w:tcW w:type="dxa" w:w="2592"/>
            <w:tcMar>
              <w:top w:w="60" w:type="dxa"/>
              <w:start w:w="65" w:type="dxa"/>
              <w:bottom w:w="60" w:type="dxa"/>
              <w:end w:w="65" w:type="dxa"/>
            </w:tcMar>
          </w:tcPr>
          <w:p>
            <w:r>
              <w:rPr>
                <w:sz w:val="17"/>
              </w:rPr>
              <w:t>No population or settlement plan</w:t>
            </w:r>
          </w:p>
        </w:tc>
      </w:tr>
      <w:tr>
        <w:trPr>
          <w:cantSplit/>
        </w:trPr>
        <w:tc>
          <w:tcPr>
            <w:tcW w:type="dxa" w:w="1656"/>
            <w:tcMar>
              <w:top w:w="60" w:type="dxa"/>
              <w:start w:w="65" w:type="dxa"/>
              <w:bottom w:w="60" w:type="dxa"/>
              <w:end w:w="65" w:type="dxa"/>
            </w:tcMar>
            <w:shd w:fill="F8FBFD"/>
          </w:tcPr>
          <w:p>
            <w:r>
              <w:rPr>
                <w:sz w:val="17"/>
              </w:rPr>
              <w:t>Two paddy fields</w:t>
            </w:r>
          </w:p>
        </w:tc>
        <w:tc>
          <w:tcPr>
            <w:tcW w:type="dxa" w:w="2016"/>
            <w:tcMar>
              <w:top w:w="60" w:type="dxa"/>
              <w:start w:w="65" w:type="dxa"/>
              <w:bottom w:w="60" w:type="dxa"/>
              <w:end w:w="65" w:type="dxa"/>
            </w:tcMar>
            <w:shd w:fill="F8FBFD"/>
          </w:tcPr>
          <w:p>
            <w:r>
              <w:rPr>
                <w:sz w:val="17"/>
              </w:rPr>
              <w:t>CC Madhya 18.5</w:t>
            </w:r>
          </w:p>
        </w:tc>
        <w:tc>
          <w:tcPr>
            <w:tcW w:type="dxa" w:w="3096"/>
            <w:tcMar>
              <w:top w:w="60" w:type="dxa"/>
              <w:start w:w="65" w:type="dxa"/>
              <w:bottom w:w="60" w:type="dxa"/>
              <w:end w:w="65" w:type="dxa"/>
            </w:tcMar>
            <w:shd w:fill="F8FBFD"/>
          </w:tcPr>
          <w:p>
            <w:r>
              <w:rPr>
                <w:sz w:val="17"/>
              </w:rPr>
              <w:t>Cultivated land occupied or overlaid the identified sacred loci</w:t>
            </w:r>
          </w:p>
        </w:tc>
        <w:tc>
          <w:tcPr>
            <w:tcW w:type="dxa" w:w="2592"/>
            <w:tcMar>
              <w:top w:w="60" w:type="dxa"/>
              <w:start w:w="65" w:type="dxa"/>
              <w:bottom w:w="60" w:type="dxa"/>
              <w:end w:w="65" w:type="dxa"/>
            </w:tcMar>
            <w:shd w:fill="F8FBFD"/>
          </w:tcPr>
          <w:p>
            <w:r>
              <w:rPr>
                <w:sz w:val="17"/>
              </w:rPr>
              <w:t>Not proof of dry land or formal ponds</w:t>
            </w:r>
          </w:p>
        </w:tc>
      </w:tr>
      <w:tr>
        <w:trPr>
          <w:cantSplit/>
        </w:trPr>
        <w:tc>
          <w:tcPr>
            <w:tcW w:type="dxa" w:w="1656"/>
            <w:tcMar>
              <w:top w:w="60" w:type="dxa"/>
              <w:start w:w="65" w:type="dxa"/>
              <w:bottom w:w="60" w:type="dxa"/>
              <w:end w:w="65" w:type="dxa"/>
            </w:tcMar>
          </w:tcPr>
          <w:p>
            <w:r>
              <w:rPr>
                <w:sz w:val="17"/>
              </w:rPr>
              <w:t>Little water</w:t>
            </w:r>
          </w:p>
        </w:tc>
        <w:tc>
          <w:tcPr>
            <w:tcW w:type="dxa" w:w="2016"/>
            <w:tcMar>
              <w:top w:w="60" w:type="dxa"/>
              <w:start w:w="65" w:type="dxa"/>
              <w:bottom w:w="60" w:type="dxa"/>
              <w:end w:w="65" w:type="dxa"/>
            </w:tcMar>
          </w:tcPr>
          <w:p>
            <w:r>
              <w:rPr>
                <w:sz w:val="17"/>
              </w:rPr>
              <w:t>CC Madhya 18.5</w:t>
            </w:r>
          </w:p>
        </w:tc>
        <w:tc>
          <w:tcPr>
            <w:tcW w:type="dxa" w:w="3096"/>
            <w:tcMar>
              <w:top w:w="60" w:type="dxa"/>
              <w:start w:w="65" w:type="dxa"/>
              <w:bottom w:w="60" w:type="dxa"/>
              <w:end w:w="65" w:type="dxa"/>
            </w:tcMar>
          </w:tcPr>
          <w:p>
            <w:r>
              <w:rPr>
                <w:sz w:val="17"/>
              </w:rPr>
              <w:t>Bathing required only limited/shallow water</w:t>
            </w:r>
          </w:p>
        </w:tc>
        <w:tc>
          <w:tcPr>
            <w:tcW w:type="dxa" w:w="2592"/>
            <w:tcMar>
              <w:top w:w="60" w:type="dxa"/>
              <w:start w:w="65" w:type="dxa"/>
              <w:bottom w:w="60" w:type="dxa"/>
              <w:end w:w="65" w:type="dxa"/>
            </w:tcMar>
          </w:tcPr>
          <w:p>
            <w:r>
              <w:rPr>
                <w:sz w:val="17"/>
              </w:rPr>
              <w:t>No season, depth or permanence given</w:t>
            </w:r>
          </w:p>
        </w:tc>
      </w:tr>
      <w:tr>
        <w:trPr>
          <w:cantSplit/>
        </w:trPr>
        <w:tc>
          <w:tcPr>
            <w:tcW w:type="dxa" w:w="1656"/>
            <w:tcMar>
              <w:top w:w="60" w:type="dxa"/>
              <w:start w:w="65" w:type="dxa"/>
              <w:bottom w:w="60" w:type="dxa"/>
              <w:end w:w="65" w:type="dxa"/>
            </w:tcMar>
            <w:shd w:fill="F8FBFD"/>
          </w:tcPr>
          <w:p>
            <w:r>
              <w:rPr>
                <w:sz w:val="17"/>
              </w:rPr>
              <w:t>Cultivated edge</w:t>
            </w:r>
          </w:p>
        </w:tc>
        <w:tc>
          <w:tcPr>
            <w:tcW w:type="dxa" w:w="2016"/>
            <w:tcMar>
              <w:top w:w="60" w:type="dxa"/>
              <w:start w:w="65" w:type="dxa"/>
              <w:bottom w:w="60" w:type="dxa"/>
              <w:end w:w="65" w:type="dxa"/>
            </w:tcMar>
            <w:shd w:fill="F8FBFD"/>
          </w:tcPr>
          <w:p>
            <w:r>
              <w:rPr>
                <w:sz w:val="17"/>
              </w:rPr>
              <w:t>1579 declaration</w:t>
            </w:r>
          </w:p>
        </w:tc>
        <w:tc>
          <w:tcPr>
            <w:tcW w:type="dxa" w:w="3096"/>
            <w:tcMar>
              <w:top w:w="60" w:type="dxa"/>
              <w:start w:w="65" w:type="dxa"/>
              <w:bottom w:w="60" w:type="dxa"/>
              <w:end w:w="65" w:type="dxa"/>
            </w:tcMar>
            <w:shd w:fill="F8FBFD"/>
          </w:tcPr>
          <w:p>
            <w:r>
              <w:rPr>
                <w:sz w:val="17"/>
              </w:rPr>
              <w:t>Agriculture bordered at least part of the six-plot estate</w:t>
            </w:r>
          </w:p>
        </w:tc>
        <w:tc>
          <w:tcPr>
            <w:tcW w:type="dxa" w:w="2592"/>
            <w:tcMar>
              <w:top w:w="60" w:type="dxa"/>
              <w:start w:w="65" w:type="dxa"/>
              <w:bottom w:w="60" w:type="dxa"/>
              <w:end w:w="65" w:type="dxa"/>
            </w:tcMar>
            <w:shd w:fill="F8FBFD"/>
          </w:tcPr>
          <w:p>
            <w:r>
              <w:rPr>
                <w:sz w:val="17"/>
              </w:rPr>
              <w:t>Cannot backdate exact boundary</w:t>
            </w:r>
          </w:p>
        </w:tc>
      </w:tr>
      <w:tr>
        <w:trPr>
          <w:cantSplit/>
        </w:trPr>
        <w:tc>
          <w:tcPr>
            <w:tcW w:type="dxa" w:w="1656"/>
            <w:tcMar>
              <w:top w:w="60" w:type="dxa"/>
              <w:start w:w="65" w:type="dxa"/>
              <w:bottom w:w="60" w:type="dxa"/>
              <w:end w:w="65" w:type="dxa"/>
            </w:tcMar>
          </w:tcPr>
          <w:p>
            <w:r>
              <w:rPr>
                <w:sz w:val="17"/>
              </w:rPr>
              <w:t>Wasteland/scrub plots</w:t>
            </w:r>
          </w:p>
        </w:tc>
        <w:tc>
          <w:tcPr>
            <w:tcW w:type="dxa" w:w="2016"/>
            <w:tcMar>
              <w:top w:w="60" w:type="dxa"/>
              <w:start w:w="65" w:type="dxa"/>
              <w:bottom w:w="60" w:type="dxa"/>
              <w:end w:w="65" w:type="dxa"/>
            </w:tcMar>
          </w:tcPr>
          <w:p>
            <w:r>
              <w:rPr>
                <w:sz w:val="17"/>
              </w:rPr>
              <w:t>1579 declaration</w:t>
            </w:r>
          </w:p>
        </w:tc>
        <w:tc>
          <w:tcPr>
            <w:tcW w:type="dxa" w:w="3096"/>
            <w:tcMar>
              <w:top w:w="60" w:type="dxa"/>
              <w:start w:w="65" w:type="dxa"/>
              <w:bottom w:w="60" w:type="dxa"/>
              <w:end w:w="65" w:type="dxa"/>
            </w:tcMar>
          </w:tcPr>
          <w:p>
            <w:r>
              <w:rPr>
                <w:sz w:val="17"/>
              </w:rPr>
              <w:t>Uncultivated parcels coexisted with cultivation</w:t>
            </w:r>
          </w:p>
        </w:tc>
        <w:tc>
          <w:tcPr>
            <w:tcW w:type="dxa" w:w="2592"/>
            <w:tcMar>
              <w:top w:w="60" w:type="dxa"/>
              <w:start w:w="65" w:type="dxa"/>
              <w:bottom w:w="60" w:type="dxa"/>
              <w:end w:w="65" w:type="dxa"/>
            </w:tcMar>
          </w:tcPr>
          <w:p>
            <w:r>
              <w:rPr>
                <w:sz w:val="17"/>
              </w:rPr>
              <w:t>Not equivalent to an empty landscape</w:t>
            </w:r>
          </w:p>
        </w:tc>
      </w:tr>
      <w:tr>
        <w:trPr>
          <w:cantSplit/>
        </w:trPr>
        <w:tc>
          <w:tcPr>
            <w:tcW w:type="dxa" w:w="1656"/>
            <w:tcMar>
              <w:top w:w="60" w:type="dxa"/>
              <w:start w:w="65" w:type="dxa"/>
              <w:bottom w:w="60" w:type="dxa"/>
              <w:end w:w="65" w:type="dxa"/>
            </w:tcMar>
            <w:shd w:fill="F8FBFD"/>
          </w:tcPr>
          <w:p>
            <w:r>
              <w:rPr>
                <w:sz w:val="17"/>
              </w:rPr>
              <w:t>Village mound/lane</w:t>
            </w:r>
          </w:p>
        </w:tc>
        <w:tc>
          <w:tcPr>
            <w:tcW w:type="dxa" w:w="2016"/>
            <w:tcMar>
              <w:top w:w="60" w:type="dxa"/>
              <w:start w:w="65" w:type="dxa"/>
              <w:bottom w:w="60" w:type="dxa"/>
              <w:end w:w="65" w:type="dxa"/>
            </w:tcMar>
            <w:shd w:fill="F8FBFD"/>
          </w:tcPr>
          <w:p>
            <w:r>
              <w:rPr>
                <w:sz w:val="17"/>
              </w:rPr>
              <w:t>1579 declaration</w:t>
            </w:r>
          </w:p>
        </w:tc>
        <w:tc>
          <w:tcPr>
            <w:tcW w:type="dxa" w:w="3096"/>
            <w:tcMar>
              <w:top w:w="60" w:type="dxa"/>
              <w:start w:w="65" w:type="dxa"/>
              <w:bottom w:w="60" w:type="dxa"/>
              <w:end w:w="65" w:type="dxa"/>
            </w:tcMar>
            <w:shd w:fill="F8FBFD"/>
          </w:tcPr>
          <w:p>
            <w:r>
              <w:rPr>
                <w:sz w:val="17"/>
              </w:rPr>
              <w:t>Settlement morphology bounded the estate</w:t>
            </w:r>
          </w:p>
        </w:tc>
        <w:tc>
          <w:tcPr>
            <w:tcW w:type="dxa" w:w="2592"/>
            <w:tcMar>
              <w:top w:w="60" w:type="dxa"/>
              <w:start w:w="65" w:type="dxa"/>
              <w:bottom w:w="60" w:type="dxa"/>
              <w:end w:w="65" w:type="dxa"/>
            </w:tcMar>
            <w:shd w:fill="F8FBFD"/>
          </w:tcPr>
          <w:p>
            <w:r>
              <w:rPr>
                <w:sz w:val="17"/>
              </w:rPr>
              <w:t>Earlier deed dates remain doubtful</w:t>
            </w:r>
          </w:p>
        </w:tc>
      </w:tr>
      <w:tr>
        <w:trPr>
          <w:cantSplit/>
        </w:trPr>
        <w:tc>
          <w:tcPr>
            <w:tcW w:type="dxa" w:w="1656"/>
            <w:tcMar>
              <w:top w:w="60" w:type="dxa"/>
              <w:start w:w="65" w:type="dxa"/>
              <w:bottom w:w="60" w:type="dxa"/>
              <w:end w:w="65" w:type="dxa"/>
            </w:tcMar>
          </w:tcPr>
          <w:p>
            <w:r>
              <w:rPr>
                <w:sz w:val="17"/>
              </w:rPr>
              <w:t>Market gardens</w:t>
            </w:r>
          </w:p>
        </w:tc>
        <w:tc>
          <w:tcPr>
            <w:tcW w:type="dxa" w:w="2016"/>
            <w:tcMar>
              <w:top w:w="60" w:type="dxa"/>
              <w:start w:w="65" w:type="dxa"/>
              <w:bottom w:w="60" w:type="dxa"/>
              <w:end w:w="65" w:type="dxa"/>
            </w:tcMar>
          </w:tcPr>
          <w:p>
            <w:r>
              <w:rPr>
                <w:sz w:val="17"/>
              </w:rPr>
              <w:t>1579 declaration; retrospective deeds</w:t>
            </w:r>
          </w:p>
        </w:tc>
        <w:tc>
          <w:tcPr>
            <w:tcW w:type="dxa" w:w="3096"/>
            <w:tcMar>
              <w:top w:w="60" w:type="dxa"/>
              <w:start w:w="65" w:type="dxa"/>
              <w:bottom w:w="60" w:type="dxa"/>
              <w:end w:w="65" w:type="dxa"/>
            </w:tcMar>
          </w:tcPr>
          <w:p>
            <w:r>
              <w:rPr>
                <w:sz w:val="17"/>
              </w:rPr>
              <w:t>Intensive cultivation existed near plots</w:t>
            </w:r>
          </w:p>
        </w:tc>
        <w:tc>
          <w:tcPr>
            <w:tcW w:type="dxa" w:w="2592"/>
            <w:tcMar>
              <w:top w:w="60" w:type="dxa"/>
              <w:start w:w="65" w:type="dxa"/>
              <w:bottom w:w="60" w:type="dxa"/>
              <w:end w:w="65" w:type="dxa"/>
            </w:tcMar>
          </w:tcPr>
          <w:p>
            <w:r>
              <w:rPr>
                <w:sz w:val="17"/>
              </w:rPr>
              <w:t>Exact crops/extent unknown</w:t>
            </w:r>
          </w:p>
        </w:tc>
      </w:tr>
      <w:tr>
        <w:trPr>
          <w:cantSplit/>
        </w:trPr>
        <w:tc>
          <w:tcPr>
            <w:tcW w:type="dxa" w:w="1656"/>
            <w:tcMar>
              <w:top w:w="60" w:type="dxa"/>
              <w:start w:w="65" w:type="dxa"/>
              <w:bottom w:w="60" w:type="dxa"/>
              <w:end w:w="65" w:type="dxa"/>
            </w:tcMar>
            <w:shd w:fill="F8FBFD"/>
          </w:tcPr>
          <w:p>
            <w:r>
              <w:rPr>
                <w:sz w:val="17"/>
              </w:rPr>
              <w:t>Wells</w:t>
            </w:r>
          </w:p>
        </w:tc>
        <w:tc>
          <w:tcPr>
            <w:tcW w:type="dxa" w:w="2016"/>
            <w:tcMar>
              <w:top w:w="60" w:type="dxa"/>
              <w:start w:w="65" w:type="dxa"/>
              <w:bottom w:w="60" w:type="dxa"/>
              <w:end w:w="65" w:type="dxa"/>
            </w:tcMar>
            <w:shd w:fill="F8FBFD"/>
          </w:tcPr>
          <w:p>
            <w:r>
              <w:rPr>
                <w:sz w:val="17"/>
              </w:rPr>
              <w:t>1579 declaration</w:t>
            </w:r>
          </w:p>
        </w:tc>
        <w:tc>
          <w:tcPr>
            <w:tcW w:type="dxa" w:w="3096"/>
            <w:tcMar>
              <w:top w:w="60" w:type="dxa"/>
              <w:start w:w="65" w:type="dxa"/>
              <w:bottom w:w="60" w:type="dxa"/>
              <w:end w:w="65" w:type="dxa"/>
            </w:tcMar>
            <w:shd w:fill="F8FBFD"/>
          </w:tcPr>
          <w:p>
            <w:r>
              <w:rPr>
                <w:sz w:val="17"/>
              </w:rPr>
              <w:t>Managed water points were local landmarks</w:t>
            </w:r>
          </w:p>
        </w:tc>
        <w:tc>
          <w:tcPr>
            <w:tcW w:type="dxa" w:w="2592"/>
            <w:tcMar>
              <w:top w:w="60" w:type="dxa"/>
              <w:start w:w="65" w:type="dxa"/>
              <w:bottom w:w="60" w:type="dxa"/>
              <w:end w:w="65" w:type="dxa"/>
            </w:tcMar>
            <w:shd w:fill="F8FBFD"/>
          </w:tcPr>
          <w:p>
            <w:r>
              <w:rPr>
                <w:sz w:val="17"/>
              </w:rPr>
              <w:t>Gobinda’s well and ‘well of tank’ may be distinct</w:t>
            </w:r>
          </w:p>
        </w:tc>
      </w:tr>
      <w:tr>
        <w:trPr>
          <w:cantSplit/>
        </w:trPr>
        <w:tc>
          <w:tcPr>
            <w:tcW w:type="dxa" w:w="1656"/>
            <w:tcMar>
              <w:top w:w="60" w:type="dxa"/>
              <w:start w:w="65" w:type="dxa"/>
              <w:bottom w:w="60" w:type="dxa"/>
              <w:end w:w="65" w:type="dxa"/>
            </w:tcMar>
          </w:tcPr>
          <w:p>
            <w:r>
              <w:rPr>
                <w:sz w:val="17"/>
              </w:rPr>
              <w:t>Nālā/nullah</w:t>
            </w:r>
          </w:p>
        </w:tc>
        <w:tc>
          <w:tcPr>
            <w:tcW w:type="dxa" w:w="2016"/>
            <w:tcMar>
              <w:top w:w="60" w:type="dxa"/>
              <w:start w:w="65" w:type="dxa"/>
              <w:bottom w:w="60" w:type="dxa"/>
              <w:end w:w="65" w:type="dxa"/>
            </w:tcMar>
          </w:tcPr>
          <w:p>
            <w:r>
              <w:rPr>
                <w:sz w:val="17"/>
              </w:rPr>
              <w:t>1579 declaration</w:t>
            </w:r>
          </w:p>
        </w:tc>
        <w:tc>
          <w:tcPr>
            <w:tcW w:type="dxa" w:w="3096"/>
            <w:tcMar>
              <w:top w:w="60" w:type="dxa"/>
              <w:start w:w="65" w:type="dxa"/>
              <w:bottom w:w="60" w:type="dxa"/>
              <w:end w:w="65" w:type="dxa"/>
            </w:tcMar>
          </w:tcPr>
          <w:p>
            <w:r>
              <w:rPr>
                <w:sz w:val="17"/>
              </w:rPr>
              <w:t>A drainage or watercourse feature existed</w:t>
            </w:r>
          </w:p>
        </w:tc>
        <w:tc>
          <w:tcPr>
            <w:tcW w:type="dxa" w:w="2592"/>
            <w:tcMar>
              <w:top w:w="60" w:type="dxa"/>
              <w:start w:w="65" w:type="dxa"/>
              <w:bottom w:w="60" w:type="dxa"/>
              <w:end w:w="65" w:type="dxa"/>
            </w:tcMar>
          </w:tcPr>
          <w:p>
            <w:r>
              <w:rPr>
                <w:sz w:val="17"/>
              </w:rPr>
              <w:t>Hydraulic function and direction unproven</w:t>
            </w:r>
          </w:p>
        </w:tc>
      </w:tr>
      <w:tr>
        <w:trPr>
          <w:cantSplit/>
        </w:trPr>
        <w:tc>
          <w:tcPr>
            <w:tcW w:type="dxa" w:w="1656"/>
            <w:tcMar>
              <w:top w:w="60" w:type="dxa"/>
              <w:start w:w="65" w:type="dxa"/>
              <w:bottom w:w="60" w:type="dxa"/>
              <w:end w:w="65" w:type="dxa"/>
            </w:tcMar>
            <w:shd w:fill="F8FBFD"/>
          </w:tcPr>
          <w:p>
            <w:r>
              <w:rPr>
                <w:sz w:val="17"/>
              </w:rPr>
              <w:t>Mahādeva temple</w:t>
            </w:r>
          </w:p>
        </w:tc>
        <w:tc>
          <w:tcPr>
            <w:tcW w:type="dxa" w:w="2016"/>
            <w:tcMar>
              <w:top w:w="60" w:type="dxa"/>
              <w:start w:w="65" w:type="dxa"/>
              <w:bottom w:w="60" w:type="dxa"/>
              <w:end w:w="65" w:type="dxa"/>
            </w:tcMar>
            <w:shd w:fill="F8FBFD"/>
          </w:tcPr>
          <w:p>
            <w:r>
              <w:rPr>
                <w:sz w:val="17"/>
              </w:rPr>
              <w:t>1579 declaration</w:t>
            </w:r>
          </w:p>
        </w:tc>
        <w:tc>
          <w:tcPr>
            <w:tcW w:type="dxa" w:w="3096"/>
            <w:tcMar>
              <w:top w:w="60" w:type="dxa"/>
              <w:start w:w="65" w:type="dxa"/>
              <w:bottom w:w="60" w:type="dxa"/>
              <w:end w:w="65" w:type="dxa"/>
            </w:tcMar>
            <w:shd w:fill="F8FBFD"/>
          </w:tcPr>
          <w:p>
            <w:r>
              <w:rPr>
                <w:sz w:val="17"/>
              </w:rPr>
              <w:t>A Śaiva shrine was a recognized boundary landmark</w:t>
            </w:r>
          </w:p>
        </w:tc>
        <w:tc>
          <w:tcPr>
            <w:tcW w:type="dxa" w:w="2592"/>
            <w:tcMar>
              <w:top w:w="60" w:type="dxa"/>
              <w:start w:w="65" w:type="dxa"/>
              <w:bottom w:w="60" w:type="dxa"/>
              <w:end w:w="65" w:type="dxa"/>
            </w:tcMar>
            <w:shd w:fill="F8FBFD"/>
          </w:tcPr>
          <w:p>
            <w:r>
              <w:rPr>
                <w:sz w:val="17"/>
              </w:rPr>
              <w:t>Foundation date and exact site unknown</w:t>
            </w:r>
          </w:p>
        </w:tc>
      </w:tr>
      <w:tr>
        <w:trPr>
          <w:cantSplit/>
        </w:trPr>
        <w:tc>
          <w:tcPr>
            <w:tcW w:type="dxa" w:w="1656"/>
            <w:tcMar>
              <w:top w:w="60" w:type="dxa"/>
              <w:start w:w="65" w:type="dxa"/>
              <w:bottom w:w="60" w:type="dxa"/>
              <w:end w:w="65" w:type="dxa"/>
            </w:tcMar>
          </w:tcPr>
          <w:p>
            <w:r>
              <w:rPr>
                <w:sz w:val="17"/>
              </w:rPr>
              <w:t>Trees</w:t>
            </w:r>
          </w:p>
        </w:tc>
        <w:tc>
          <w:tcPr>
            <w:tcW w:type="dxa" w:w="2016"/>
            <w:tcMar>
              <w:top w:w="60" w:type="dxa"/>
              <w:start w:w="65" w:type="dxa"/>
              <w:bottom w:w="60" w:type="dxa"/>
              <w:end w:w="65" w:type="dxa"/>
            </w:tcMar>
          </w:tcPr>
          <w:p>
            <w:r>
              <w:rPr>
                <w:sz w:val="17"/>
              </w:rPr>
              <w:t>1579 declaration</w:t>
            </w:r>
          </w:p>
        </w:tc>
        <w:tc>
          <w:tcPr>
            <w:tcW w:type="dxa" w:w="3096"/>
            <w:tcMar>
              <w:top w:w="60" w:type="dxa"/>
              <w:start w:w="65" w:type="dxa"/>
              <w:bottom w:w="60" w:type="dxa"/>
              <w:end w:w="65" w:type="dxa"/>
            </w:tcMar>
          </w:tcPr>
          <w:p>
            <w:r>
              <w:rPr>
                <w:sz w:val="17"/>
              </w:rPr>
              <w:t>Karail/neem and other trees marked parcels</w:t>
            </w:r>
          </w:p>
        </w:tc>
        <w:tc>
          <w:tcPr>
            <w:tcW w:type="dxa" w:w="2592"/>
            <w:tcMar>
              <w:top w:w="60" w:type="dxa"/>
              <w:start w:w="65" w:type="dxa"/>
              <w:bottom w:w="60" w:type="dxa"/>
              <w:end w:w="65" w:type="dxa"/>
            </w:tcMar>
          </w:tcPr>
          <w:p>
            <w:r>
              <w:rPr>
                <w:sz w:val="17"/>
              </w:rPr>
              <w:t>Individual-tree continuity cannot be assumed</w:t>
            </w:r>
          </w:p>
        </w:tc>
      </w:tr>
      <w:tr>
        <w:trPr>
          <w:cantSplit/>
        </w:trPr>
        <w:tc>
          <w:tcPr>
            <w:tcW w:type="dxa" w:w="1656"/>
            <w:tcMar>
              <w:top w:w="60" w:type="dxa"/>
              <w:start w:w="65" w:type="dxa"/>
              <w:bottom w:w="60" w:type="dxa"/>
              <w:end w:w="65" w:type="dxa"/>
            </w:tcMar>
            <w:shd w:fill="F8FBFD"/>
          </w:tcPr>
          <w:p>
            <w:r>
              <w:rPr>
                <w:sz w:val="17"/>
              </w:rPr>
              <w:t>Ghāṭ/passage</w:t>
            </w:r>
          </w:p>
        </w:tc>
        <w:tc>
          <w:tcPr>
            <w:tcW w:type="dxa" w:w="2016"/>
            <w:tcMar>
              <w:top w:w="60" w:type="dxa"/>
              <w:start w:w="65" w:type="dxa"/>
              <w:bottom w:w="60" w:type="dxa"/>
              <w:end w:w="65" w:type="dxa"/>
            </w:tcMar>
            <w:shd w:fill="F8FBFD"/>
          </w:tcPr>
          <w:p>
            <w:r>
              <w:rPr>
                <w:sz w:val="17"/>
              </w:rPr>
              <w:t>1579 declaration; retrospective deeds</w:t>
            </w:r>
          </w:p>
        </w:tc>
        <w:tc>
          <w:tcPr>
            <w:tcW w:type="dxa" w:w="3096"/>
            <w:tcMar>
              <w:top w:w="60" w:type="dxa"/>
              <w:start w:w="65" w:type="dxa"/>
              <w:bottom w:w="60" w:type="dxa"/>
              <w:end w:w="65" w:type="dxa"/>
            </w:tcMar>
            <w:shd w:fill="F8FBFD"/>
          </w:tcPr>
          <w:p>
            <w:r>
              <w:rPr>
                <w:sz w:val="17"/>
              </w:rPr>
              <w:t>Named access/edge features existed by late 16th c.</w:t>
            </w:r>
          </w:p>
        </w:tc>
        <w:tc>
          <w:tcPr>
            <w:tcW w:type="dxa" w:w="2592"/>
            <w:tcMar>
              <w:top w:w="60" w:type="dxa"/>
              <w:start w:w="65" w:type="dxa"/>
              <w:bottom w:w="60" w:type="dxa"/>
              <w:end w:w="65" w:type="dxa"/>
            </w:tcMar>
            <w:shd w:fill="F8FBFD"/>
          </w:tcPr>
          <w:p>
            <w:r>
              <w:rPr>
                <w:sz w:val="17"/>
              </w:rPr>
              <w:t>Masonry form is not established</w:t>
            </w:r>
          </w:p>
        </w:tc>
      </w:tr>
      <w:tr>
        <w:trPr>
          <w:cantSplit/>
        </w:trPr>
        <w:tc>
          <w:tcPr>
            <w:tcW w:type="dxa" w:w="1656"/>
            <w:tcMar>
              <w:top w:w="60" w:type="dxa"/>
              <w:start w:w="65" w:type="dxa"/>
              <w:bottom w:w="60" w:type="dxa"/>
              <w:end w:w="65" w:type="dxa"/>
            </w:tcMar>
          </w:tcPr>
          <w:p>
            <w:r>
              <w:rPr>
                <w:sz w:val="17"/>
              </w:rPr>
              <w:t>Paired excavation</w:t>
            </w:r>
          </w:p>
        </w:tc>
        <w:tc>
          <w:tcPr>
            <w:tcW w:type="dxa" w:w="2016"/>
            <w:tcMar>
              <w:top w:w="60" w:type="dxa"/>
              <w:start w:w="65" w:type="dxa"/>
              <w:bottom w:w="60" w:type="dxa"/>
              <w:end w:w="65" w:type="dxa"/>
            </w:tcMar>
          </w:tcPr>
          <w:p>
            <w:r>
              <w:rPr>
                <w:sz w:val="17"/>
              </w:rPr>
              <w:t>B–D cumulative chain</w:t>
            </w:r>
          </w:p>
        </w:tc>
        <w:tc>
          <w:tcPr>
            <w:tcW w:type="dxa" w:w="3096"/>
            <w:tcMar>
              <w:top w:w="60" w:type="dxa"/>
              <w:start w:w="65" w:type="dxa"/>
              <w:bottom w:w="60" w:type="dxa"/>
              <w:end w:w="65" w:type="dxa"/>
            </w:tcMar>
          </w:tcPr>
          <w:p>
            <w:r>
              <w:rPr>
                <w:sz w:val="17"/>
              </w:rPr>
              <w:t>Substantial restoration/digging is highly probable</w:t>
            </w:r>
          </w:p>
        </w:tc>
        <w:tc>
          <w:tcPr>
            <w:tcW w:type="dxa" w:w="2592"/>
            <w:tcMar>
              <w:top w:w="60" w:type="dxa"/>
              <w:start w:w="65" w:type="dxa"/>
              <w:bottom w:w="60" w:type="dxa"/>
              <w:end w:w="65" w:type="dxa"/>
            </w:tcMar>
          </w:tcPr>
          <w:p>
            <w:r>
              <w:rPr>
                <w:sz w:val="17"/>
              </w:rPr>
              <w:t>Exact dimensions, phases and workforce absent</w:t>
            </w:r>
          </w:p>
        </w:tc>
      </w:tr>
    </w:tbl>
    <w:p>
      <w:pPr>
        <w:spacing w:after="100" w:line="252" w:lineRule="auto"/>
      </w:pPr>
    </w:p>
    <w:p>
      <w:pPr>
        <w:pStyle w:val="Heading1"/>
        <w:keepNext/>
      </w:pPr>
      <w:r>
        <w:t>14. Reconciliation tests</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75" w:type="dxa"/>
              <w:start w:w="90" w:type="dxa"/>
              <w:bottom w:w="75" w:type="dxa"/>
              <w:end w:w="90" w:type="dxa"/>
            </w:tcMar>
            <w:shd w:fill="D9EAF7"/>
          </w:tcPr>
          <w:p>
            <w:r>
              <w:rPr>
                <w:b/>
                <w:color w:val="1F4D78"/>
              </w:rPr>
              <w:t>FIELDS vs PONDS</w:t>
            </w:r>
          </w:p>
        </w:tc>
        <w:tc>
          <w:tcPr>
            <w:tcW w:type="dxa" w:w="6408"/>
            <w:vAlign w:val="top"/>
            <w:tcMar>
              <w:top w:w="75" w:type="dxa"/>
              <w:start w:w="90" w:type="dxa"/>
              <w:bottom w:w="75" w:type="dxa"/>
              <w:end w:w="90" w:type="dxa"/>
            </w:tcMar>
          </w:tcPr>
          <w:p>
            <w:r>
              <w:t>CC’s ‘two paddy fields with a little water’ is not a contradiction in terms: shallow basin land can be cultivated seasonally or partially. The text identifies sacred loci through field use, not a binary pond/no-pond condition.</w:t>
            </w:r>
          </w:p>
        </w:tc>
      </w:tr>
      <w:tr>
        <w:trPr>
          <w:cantSplit/>
        </w:trPr>
        <w:tc>
          <w:tcPr>
            <w:tcW w:type="dxa" w:w="2232"/>
            <w:vAlign w:val="top"/>
            <w:tcMar>
              <w:top w:w="75" w:type="dxa"/>
              <w:start w:w="90" w:type="dxa"/>
              <w:bottom w:w="75" w:type="dxa"/>
              <w:end w:w="90" w:type="dxa"/>
            </w:tcMar>
            <w:shd w:fill="D9EAF7"/>
          </w:tcPr>
          <w:p>
            <w:r>
              <w:rPr>
                <w:b/>
                <w:color w:val="1F4D78"/>
              </w:rPr>
              <w:t>FIELDS vs WASTELAND</w:t>
            </w:r>
          </w:p>
        </w:tc>
        <w:tc>
          <w:tcPr>
            <w:tcW w:type="dxa" w:w="6408"/>
            <w:vAlign w:val="top"/>
            <w:tcMar>
              <w:top w:w="75" w:type="dxa"/>
              <w:start w:w="90" w:type="dxa"/>
              <w:bottom w:w="75" w:type="dxa"/>
              <w:end w:w="90" w:type="dxa"/>
            </w:tcMar>
          </w:tcPr>
          <w:p>
            <w:r>
              <w:t>The early-16th-century fields and 1579 wasteland parcels need not be the same parcels or the same moment. A mixed landscape can include cultivated margins, gardens, scrub and basin-edge wasteland simultaneously; land use may also have changed over decades.</w:t>
            </w:r>
          </w:p>
        </w:tc>
      </w:tr>
      <w:tr>
        <w:trPr>
          <w:cantSplit/>
        </w:trPr>
        <w:tc>
          <w:tcPr>
            <w:tcW w:type="dxa" w:w="2232"/>
            <w:vAlign w:val="top"/>
            <w:tcMar>
              <w:top w:w="75" w:type="dxa"/>
              <w:start w:w="90" w:type="dxa"/>
              <w:bottom w:w="75" w:type="dxa"/>
              <w:end w:w="90" w:type="dxa"/>
            </w:tcMar>
            <w:shd w:fill="D9EAF7"/>
          </w:tcPr>
          <w:p>
            <w:r>
              <w:rPr>
                <w:b/>
                <w:color w:val="1F4D78"/>
              </w:rPr>
              <w:t>LOST vs ABSENT</w:t>
            </w:r>
          </w:p>
        </w:tc>
        <w:tc>
          <w:tcPr>
            <w:tcW w:type="dxa" w:w="6408"/>
            <w:vAlign w:val="top"/>
            <w:tcMar>
              <w:top w:w="75" w:type="dxa"/>
              <w:start w:w="90" w:type="dxa"/>
              <w:bottom w:w="75" w:type="dxa"/>
              <w:end w:w="90" w:type="dxa"/>
            </w:tcMar>
          </w:tcPr>
          <w:p>
            <w:r>
              <w:t>lupta is controlled as ‘lost/obscured’ in identification. It does not establish physical annihilation, total dryness or lack of local water.</w:t>
            </w:r>
          </w:p>
        </w:tc>
      </w:tr>
      <w:tr>
        <w:trPr>
          <w:cantSplit/>
        </w:trPr>
        <w:tc>
          <w:tcPr>
            <w:tcW w:type="dxa" w:w="2232"/>
            <w:vAlign w:val="top"/>
            <w:tcMar>
              <w:top w:w="75" w:type="dxa"/>
              <w:start w:w="90" w:type="dxa"/>
              <w:bottom w:w="75" w:type="dxa"/>
              <w:end w:w="90" w:type="dxa"/>
            </w:tcMar>
            <w:shd w:fill="D9EAF7"/>
          </w:tcPr>
          <w:p>
            <w:r>
              <w:rPr>
                <w:b/>
                <w:color w:val="1F4D78"/>
              </w:rPr>
              <w:t>REDISCOVERY vs CONSTRUCTION</w:t>
            </w:r>
          </w:p>
        </w:tc>
        <w:tc>
          <w:tcPr>
            <w:tcW w:type="dxa" w:w="6408"/>
            <w:vAlign w:val="top"/>
            <w:tcMar>
              <w:top w:w="75" w:type="dxa"/>
              <w:start w:w="90" w:type="dxa"/>
              <w:bottom w:w="75" w:type="dxa"/>
              <w:end w:w="90" w:type="dxa"/>
            </w:tcMar>
          </w:tcPr>
          <w:p>
            <w:r>
              <w:t>Mahāprabhu’s act is recognition, bathing, praise and ritual activation. The text reports no engineering. Physical enlargement/restoration belongs to the later Raghunātha dossier.</w:t>
            </w:r>
          </w:p>
        </w:tc>
      </w:tr>
      <w:tr>
        <w:trPr>
          <w:cantSplit/>
        </w:trPr>
        <w:tc>
          <w:tcPr>
            <w:tcW w:type="dxa" w:w="2232"/>
            <w:vAlign w:val="top"/>
            <w:tcMar>
              <w:top w:w="75" w:type="dxa"/>
              <w:start w:w="90" w:type="dxa"/>
              <w:bottom w:w="75" w:type="dxa"/>
              <w:end w:w="90" w:type="dxa"/>
            </w:tcMar>
            <w:shd w:fill="D9EAF7"/>
          </w:tcPr>
          <w:p>
            <w:r>
              <w:rPr>
                <w:b/>
                <w:color w:val="1F4D78"/>
              </w:rPr>
              <w:t>RESTORATION vs CREATION</w:t>
            </w:r>
          </w:p>
        </w:tc>
        <w:tc>
          <w:tcPr>
            <w:tcW w:type="dxa" w:w="6408"/>
            <w:vAlign w:val="top"/>
            <w:tcMar>
              <w:top w:w="75" w:type="dxa"/>
              <w:start w:w="90" w:type="dxa"/>
              <w:bottom w:w="75" w:type="dxa"/>
              <w:end w:w="90" w:type="dxa"/>
            </w:tcMar>
          </w:tcPr>
          <w:p>
            <w:r>
              <w:t>Bhakti-ratnākara’s continuity of kuṇḍadvaya and its terms paṅkoddhāra/khodāila favor restoration plus excavation. ‘Creation ex nihilo’ is too strong for the historical layer.</w:t>
            </w:r>
          </w:p>
        </w:tc>
      </w:tr>
      <w:tr>
        <w:trPr>
          <w:cantSplit/>
        </w:trPr>
        <w:tc>
          <w:tcPr>
            <w:tcW w:type="dxa" w:w="2232"/>
            <w:vAlign w:val="top"/>
            <w:tcMar>
              <w:top w:w="75" w:type="dxa"/>
              <w:start w:w="90" w:type="dxa"/>
              <w:bottom w:w="75" w:type="dxa"/>
              <w:end w:w="90" w:type="dxa"/>
            </w:tcMar>
            <w:shd w:fill="D9EAF7"/>
          </w:tcPr>
          <w:p>
            <w:r>
              <w:rPr>
                <w:b/>
                <w:color w:val="1F4D78"/>
              </w:rPr>
              <w:t>NITYA-LĪLĀ vs SURVEY</w:t>
            </w:r>
          </w:p>
        </w:tc>
        <w:tc>
          <w:tcPr>
            <w:tcW w:type="dxa" w:w="6408"/>
            <w:vAlign w:val="top"/>
            <w:tcMar>
              <w:top w:w="75" w:type="dxa"/>
              <w:start w:w="90" w:type="dxa"/>
              <w:bottom w:w="75" w:type="dxa"/>
              <w:end w:w="90" w:type="dxa"/>
            </w:tcMar>
          </w:tcPr>
          <w:p>
            <w:r>
              <w:t>Govinda-līlāmṛta and the twenty-verse appearance account control sacred meaning and ideal spatial relations. Documentary boundaries control historical topography. Neither layer may silently replace the other.</w:t>
            </w:r>
          </w:p>
        </w:tc>
      </w:tr>
      <w:tr>
        <w:trPr>
          <w:cantSplit/>
        </w:trPr>
        <w:tc>
          <w:tcPr>
            <w:tcW w:type="dxa" w:w="2232"/>
            <w:vAlign w:val="top"/>
            <w:tcMar>
              <w:top w:w="75" w:type="dxa"/>
              <w:start w:w="90" w:type="dxa"/>
              <w:bottom w:w="75" w:type="dxa"/>
              <w:end w:w="90" w:type="dxa"/>
            </w:tcMar>
            <w:shd w:fill="D9EAF7"/>
          </w:tcPr>
          <w:p>
            <w:r>
              <w:rPr>
                <w:b/>
                <w:color w:val="1F4D78"/>
              </w:rPr>
              <w:t>LOCAL NAMES</w:t>
            </w:r>
          </w:p>
        </w:tc>
        <w:tc>
          <w:tcPr>
            <w:tcW w:type="dxa" w:w="6408"/>
            <w:vAlign w:val="top"/>
            <w:tcMar>
              <w:top w:w="75" w:type="dxa"/>
              <w:start w:w="90" w:type="dxa"/>
              <w:bottom w:w="75" w:type="dxa"/>
              <w:end w:w="90" w:type="dxa"/>
            </w:tcMar>
          </w:tcPr>
          <w:p>
            <w:r>
              <w:t>Kālī and Gaurī are valuable B-layer remembered field names, but they are not in CC and remain uncorroborated for the early visit.</w:t>
            </w:r>
          </w:p>
        </w:tc>
      </w:tr>
      <w:tr>
        <w:trPr>
          <w:cantSplit/>
        </w:trPr>
        <w:tc>
          <w:tcPr>
            <w:tcW w:type="dxa" w:w="2232"/>
            <w:vAlign w:val="top"/>
            <w:tcMar>
              <w:top w:w="75" w:type="dxa"/>
              <w:start w:w="90" w:type="dxa"/>
              <w:bottom w:w="75" w:type="dxa"/>
              <w:end w:w="90" w:type="dxa"/>
            </w:tcMar>
            <w:shd w:fill="D9EAF7"/>
          </w:tcPr>
          <w:p>
            <w:r>
              <w:rPr>
                <w:b/>
                <w:color w:val="1F4D78"/>
              </w:rPr>
              <w:t>PURĀṆIC PROVENANCE</w:t>
            </w:r>
          </w:p>
        </w:tc>
        <w:tc>
          <w:tcPr>
            <w:tcW w:type="dxa" w:w="6408"/>
            <w:vAlign w:val="top"/>
            <w:tcMar>
              <w:top w:w="75" w:type="dxa"/>
              <w:start w:w="90" w:type="dxa"/>
              <w:bottom w:w="75" w:type="dxa"/>
              <w:end w:w="90" w:type="dxa"/>
            </w:tcMar>
          </w:tcPr>
          <w:p>
            <w:r>
              <w:t>Varāha 164.29–32 demonstrates a core source. It does not yet prove that Viśvanātha’s entire twenty-verse unit comes verbatim from one Purāṇa; verse-level provenance remains an open collation task.</w:t>
            </w:r>
          </w:p>
        </w:tc>
      </w:tr>
    </w:tbl>
    <w:p>
      <w:pPr>
        <w:spacing w:after="100" w:line="252" w:lineRule="auto"/>
      </w:pPr>
    </w:p>
    <w:p>
      <w:pPr>
        <w:pStyle w:val="Heading1"/>
        <w:keepNext/>
      </w:pPr>
      <w:r>
        <w:t>15. Block 2 findings and rulings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936"/>
            <w:shd w:fill="1F4D78"/>
            <w:tcMar>
              <w:top w:w="70" w:type="dxa"/>
              <w:start w:w="70" w:type="dxa"/>
              <w:bottom w:w="70" w:type="dxa"/>
              <w:end w:w="70" w:type="dxa"/>
            </w:tcMar>
          </w:tcPr>
          <w:p>
            <w:r>
              <w:rPr>
                <w:b/>
                <w:color w:val="FFFFFF"/>
                <w:sz w:val="19"/>
              </w:rPr>
              <w:t>ID</w:t>
            </w:r>
          </w:p>
        </w:tc>
        <w:tc>
          <w:tcPr>
            <w:tcW w:type="dxa" w:w="8424"/>
            <w:shd w:fill="1F4D78"/>
            <w:tcMar>
              <w:top w:w="70" w:type="dxa"/>
              <w:start w:w="70" w:type="dxa"/>
              <w:bottom w:w="70" w:type="dxa"/>
              <w:end w:w="70" w:type="dxa"/>
            </w:tcMar>
          </w:tcPr>
          <w:p>
            <w:r>
              <w:rPr>
                <w:b/>
                <w:color w:val="FFFFFF"/>
                <w:sz w:val="19"/>
              </w:rPr>
              <w:t>Ruling</w:t>
            </w:r>
          </w:p>
        </w:tc>
      </w:tr>
      <w:tr>
        <w:trPr>
          <w:cantSplit/>
        </w:trPr>
        <w:tc>
          <w:tcPr>
            <w:tcW w:type="dxa" w:w="936"/>
            <w:tcMar>
              <w:top w:w="60" w:type="dxa"/>
              <w:start w:w="65" w:type="dxa"/>
              <w:bottom w:w="60" w:type="dxa"/>
              <w:end w:w="65" w:type="dxa"/>
            </w:tcMar>
          </w:tcPr>
          <w:p>
            <w:r>
              <w:rPr>
                <w:sz w:val="19"/>
              </w:rPr>
              <w:t>F01</w:t>
            </w:r>
          </w:p>
        </w:tc>
        <w:tc>
          <w:tcPr>
            <w:tcW w:type="dxa" w:w="8424"/>
            <w:tcMar>
              <w:top w:w="60" w:type="dxa"/>
              <w:start w:w="65" w:type="dxa"/>
              <w:bottom w:w="60" w:type="dxa"/>
              <w:end w:w="65" w:type="dxa"/>
            </w:tcMar>
          </w:tcPr>
          <w:p>
            <w:r>
              <w:rPr>
                <w:sz w:val="19"/>
              </w:rPr>
              <w:t>Āriṭ was inhabited at the moment described by CC; ‘empty wilderness’ is excluded.</w:t>
            </w:r>
          </w:p>
        </w:tc>
      </w:tr>
      <w:tr>
        <w:trPr>
          <w:cantSplit/>
        </w:trPr>
        <w:tc>
          <w:tcPr>
            <w:tcW w:type="dxa" w:w="936"/>
            <w:tcMar>
              <w:top w:w="60" w:type="dxa"/>
              <w:start w:w="65" w:type="dxa"/>
              <w:bottom w:w="60" w:type="dxa"/>
              <w:end w:w="65" w:type="dxa"/>
            </w:tcMar>
            <w:shd w:fill="F8FBFD"/>
          </w:tcPr>
          <w:p>
            <w:r>
              <w:rPr>
                <w:sz w:val="19"/>
              </w:rPr>
              <w:t>F02</w:t>
            </w:r>
          </w:p>
        </w:tc>
        <w:tc>
          <w:tcPr>
            <w:tcW w:type="dxa" w:w="8424"/>
            <w:tcMar>
              <w:top w:w="60" w:type="dxa"/>
              <w:start w:w="65" w:type="dxa"/>
              <w:bottom w:w="60" w:type="dxa"/>
              <w:end w:w="65" w:type="dxa"/>
            </w:tcMar>
            <w:shd w:fill="F8FBFD"/>
          </w:tcPr>
          <w:p>
            <w:r>
              <w:rPr>
                <w:sz w:val="19"/>
              </w:rPr>
              <w:t>The two sacred loci were then used or perceived as paddy fields containing a little water; neither dry absence nor formal engineered ponds is established.</w:t>
            </w:r>
          </w:p>
        </w:tc>
      </w:tr>
      <w:tr>
        <w:trPr>
          <w:cantSplit/>
        </w:trPr>
        <w:tc>
          <w:tcPr>
            <w:tcW w:type="dxa" w:w="936"/>
            <w:tcMar>
              <w:top w:w="60" w:type="dxa"/>
              <w:start w:w="65" w:type="dxa"/>
              <w:bottom w:w="60" w:type="dxa"/>
              <w:end w:w="65" w:type="dxa"/>
            </w:tcMar>
          </w:tcPr>
          <w:p>
            <w:r>
              <w:rPr>
                <w:sz w:val="19"/>
              </w:rPr>
              <w:t>F03</w:t>
            </w:r>
          </w:p>
        </w:tc>
        <w:tc>
          <w:tcPr>
            <w:tcW w:type="dxa" w:w="8424"/>
            <w:tcMar>
              <w:top w:w="60" w:type="dxa"/>
              <w:start w:w="65" w:type="dxa"/>
              <w:bottom w:w="60" w:type="dxa"/>
              <w:end w:w="65" w:type="dxa"/>
            </w:tcMar>
          </w:tcPr>
          <w:p>
            <w:r>
              <w:rPr>
                <w:sz w:val="19"/>
              </w:rPr>
              <w:t>Mahāprabhu’s ‘rediscovery’ is authoritative reidentification and ritual activation, not excavation.</w:t>
            </w:r>
          </w:p>
        </w:tc>
      </w:tr>
      <w:tr>
        <w:trPr>
          <w:cantSplit/>
        </w:trPr>
        <w:tc>
          <w:tcPr>
            <w:tcW w:type="dxa" w:w="936"/>
            <w:tcMar>
              <w:top w:w="60" w:type="dxa"/>
              <w:start w:w="65" w:type="dxa"/>
              <w:bottom w:w="60" w:type="dxa"/>
              <w:end w:w="65" w:type="dxa"/>
            </w:tcMar>
            <w:shd w:fill="F8FBFD"/>
          </w:tcPr>
          <w:p>
            <w:r>
              <w:rPr>
                <w:sz w:val="19"/>
              </w:rPr>
              <w:t>F04</w:t>
            </w:r>
          </w:p>
        </w:tc>
        <w:tc>
          <w:tcPr>
            <w:tcW w:type="dxa" w:w="8424"/>
            <w:tcMar>
              <w:top w:w="60" w:type="dxa"/>
              <w:start w:w="65" w:type="dxa"/>
              <w:bottom w:w="60" w:type="dxa"/>
              <w:end w:w="65" w:type="dxa"/>
            </w:tcMar>
            <w:shd w:fill="F8FBFD"/>
          </w:tcPr>
          <w:p>
            <w:r>
              <w:rPr>
                <w:sz w:val="19"/>
              </w:rPr>
              <w:t>By 1579 the estate sat in a mixed village-edge environment combining cultivation, gardens, wasteland/scrub, settlement markers, wells, a watercourse, trees, shrine and access features.</w:t>
            </w:r>
          </w:p>
        </w:tc>
      </w:tr>
      <w:tr>
        <w:trPr>
          <w:cantSplit/>
        </w:trPr>
        <w:tc>
          <w:tcPr>
            <w:tcW w:type="dxa" w:w="936"/>
            <w:tcMar>
              <w:top w:w="60" w:type="dxa"/>
              <w:start w:w="65" w:type="dxa"/>
              <w:bottom w:w="60" w:type="dxa"/>
              <w:end w:w="65" w:type="dxa"/>
            </w:tcMar>
          </w:tcPr>
          <w:p>
            <w:r>
              <w:rPr>
                <w:sz w:val="19"/>
              </w:rPr>
              <w:t>F05</w:t>
            </w:r>
          </w:p>
        </w:tc>
        <w:tc>
          <w:tcPr>
            <w:tcW w:type="dxa" w:w="8424"/>
            <w:tcMar>
              <w:top w:w="60" w:type="dxa"/>
              <w:start w:w="65" w:type="dxa"/>
              <w:bottom w:w="60" w:type="dxa"/>
              <w:end w:w="65" w:type="dxa"/>
            </w:tcMar>
          </w:tcPr>
          <w:p>
            <w:r>
              <w:rPr>
                <w:sz w:val="19"/>
              </w:rPr>
              <w:t>The 1579 and early-16th-century descriptions can coexist without contradiction; they describe different dates and potentially different parcels within a changing landscape.</w:t>
            </w:r>
          </w:p>
        </w:tc>
      </w:tr>
      <w:tr>
        <w:trPr>
          <w:cantSplit/>
        </w:trPr>
        <w:tc>
          <w:tcPr>
            <w:tcW w:type="dxa" w:w="936"/>
            <w:tcMar>
              <w:top w:w="60" w:type="dxa"/>
              <w:start w:w="65" w:type="dxa"/>
              <w:bottom w:w="60" w:type="dxa"/>
              <w:end w:w="65" w:type="dxa"/>
            </w:tcMar>
            <w:shd w:fill="F8FBFD"/>
          </w:tcPr>
          <w:p>
            <w:r>
              <w:rPr>
                <w:sz w:val="19"/>
              </w:rPr>
              <w:t>F06</w:t>
            </w:r>
          </w:p>
        </w:tc>
        <w:tc>
          <w:tcPr>
            <w:tcW w:type="dxa" w:w="8424"/>
            <w:tcMar>
              <w:top w:w="60" w:type="dxa"/>
              <w:start w:w="65" w:type="dxa"/>
              <w:bottom w:w="60" w:type="dxa"/>
              <w:end w:w="65" w:type="dxa"/>
            </w:tcMar>
            <w:shd w:fill="F8FBFD"/>
          </w:tcPr>
          <w:p>
            <w:r>
              <w:rPr>
                <w:sz w:val="19"/>
              </w:rPr>
              <w:t>The 1588 declaration secures six-plot consolidation and hiba but does not verbatim narrate pond digging.</w:t>
            </w:r>
          </w:p>
        </w:tc>
      </w:tr>
      <w:tr>
        <w:trPr>
          <w:cantSplit/>
        </w:trPr>
        <w:tc>
          <w:tcPr>
            <w:tcW w:type="dxa" w:w="936"/>
            <w:tcMar>
              <w:top w:w="60" w:type="dxa"/>
              <w:start w:w="65" w:type="dxa"/>
              <w:bottom w:w="60" w:type="dxa"/>
              <w:end w:w="65" w:type="dxa"/>
            </w:tcMar>
          </w:tcPr>
          <w:p>
            <w:r>
              <w:rPr>
                <w:sz w:val="19"/>
              </w:rPr>
              <w:t>F07</w:t>
            </w:r>
          </w:p>
        </w:tc>
        <w:tc>
          <w:tcPr>
            <w:tcW w:type="dxa" w:w="8424"/>
            <w:tcMar>
              <w:top w:w="60" w:type="dxa"/>
              <w:start w:w="65" w:type="dxa"/>
              <w:bottom w:w="60" w:type="dxa"/>
              <w:end w:w="65" w:type="dxa"/>
            </w:tcMar>
          </w:tcPr>
          <w:p>
            <w:r>
              <w:rPr>
                <w:sz w:val="19"/>
              </w:rPr>
              <w:t>B–D convergence supports substantial Raghunātha-era restoration/excavation; exact engineering sequence remains unresolved.</w:t>
            </w:r>
          </w:p>
        </w:tc>
      </w:tr>
      <w:tr>
        <w:trPr>
          <w:cantSplit/>
        </w:trPr>
        <w:tc>
          <w:tcPr>
            <w:tcW w:type="dxa" w:w="936"/>
            <w:tcMar>
              <w:top w:w="60" w:type="dxa"/>
              <w:start w:w="65" w:type="dxa"/>
              <w:bottom w:w="60" w:type="dxa"/>
              <w:end w:w="65" w:type="dxa"/>
            </w:tcMar>
            <w:shd w:fill="F8FBFD"/>
          </w:tcPr>
          <w:p>
            <w:r>
              <w:rPr>
                <w:sz w:val="19"/>
              </w:rPr>
              <w:t>F08</w:t>
            </w:r>
          </w:p>
        </w:tc>
        <w:tc>
          <w:tcPr>
            <w:tcW w:type="dxa" w:w="8424"/>
            <w:tcMar>
              <w:top w:w="60" w:type="dxa"/>
              <w:start w:w="65" w:type="dxa"/>
              <w:bottom w:w="60" w:type="dxa"/>
              <w:end w:w="65" w:type="dxa"/>
            </w:tcMar>
            <w:shd w:fill="F8FBFD"/>
          </w:tcPr>
          <w:p>
            <w:r>
              <w:rPr>
                <w:sz w:val="19"/>
              </w:rPr>
              <w:t>The Varāha provenance problem is partially resolved: a demonstrable core exists, while the full twenty-verse source genealogy remains open.</w:t>
            </w:r>
          </w:p>
        </w:tc>
      </w:tr>
      <w:tr>
        <w:trPr>
          <w:cantSplit/>
        </w:trPr>
        <w:tc>
          <w:tcPr>
            <w:tcW w:type="dxa" w:w="936"/>
            <w:tcMar>
              <w:top w:w="60" w:type="dxa"/>
              <w:start w:w="65" w:type="dxa"/>
              <w:bottom w:w="60" w:type="dxa"/>
              <w:end w:w="65" w:type="dxa"/>
            </w:tcMar>
          </w:tcPr>
          <w:p>
            <w:r>
              <w:rPr>
                <w:sz w:val="19"/>
              </w:rPr>
              <w:t>F09</w:t>
            </w:r>
          </w:p>
        </w:tc>
        <w:tc>
          <w:tcPr>
            <w:tcW w:type="dxa" w:w="8424"/>
            <w:tcMar>
              <w:top w:w="60" w:type="dxa"/>
              <w:start w:w="65" w:type="dxa"/>
              <w:bottom w:w="60" w:type="dxa"/>
              <w:end w:w="65" w:type="dxa"/>
            </w:tcMar>
          </w:tcPr>
          <w:p>
            <w:r>
              <w:rPr>
                <w:sz w:val="19"/>
              </w:rPr>
              <w:t>Nitya-līlā and māhātmya sources must control sacred interpretation without being treated as cadastral evidence.</w:t>
            </w:r>
          </w:p>
        </w:tc>
      </w:tr>
      <w:tr>
        <w:trPr>
          <w:cantSplit/>
        </w:trPr>
        <w:tc>
          <w:tcPr>
            <w:tcW w:type="dxa" w:w="936"/>
            <w:tcMar>
              <w:top w:w="60" w:type="dxa"/>
              <w:start w:w="65" w:type="dxa"/>
              <w:bottom w:w="60" w:type="dxa"/>
              <w:end w:w="65" w:type="dxa"/>
            </w:tcMar>
            <w:shd w:fill="F8FBFD"/>
          </w:tcPr>
          <w:p>
            <w:r>
              <w:rPr>
                <w:sz w:val="19"/>
              </w:rPr>
              <w:t>F10</w:t>
            </w:r>
          </w:p>
        </w:tc>
        <w:tc>
          <w:tcPr>
            <w:tcW w:type="dxa" w:w="8424"/>
            <w:tcMar>
              <w:top w:w="60" w:type="dxa"/>
              <w:start w:w="65" w:type="dxa"/>
              <w:bottom w:w="60" w:type="dxa"/>
              <w:end w:w="65" w:type="dxa"/>
            </w:tcMar>
            <w:shd w:fill="F8FBFD"/>
          </w:tcPr>
          <w:p>
            <w:r>
              <w:rPr>
                <w:sz w:val="19"/>
              </w:rPr>
              <w:t>A continuous reader-facing history should wait until Block 3 integrates acquisition, labour, excavation, legal transfer and the 1598 institutional horizon.</w:t>
            </w:r>
          </w:p>
        </w:tc>
      </w:tr>
    </w:tbl>
    <w:p>
      <w:pPr>
        <w:spacing w:after="100" w:line="252" w:lineRule="auto"/>
      </w:pPr>
    </w:p>
    <w:p>
      <w:pPr>
        <w:pStyle w:val="Heading1"/>
        <w:keepNext/>
      </w:pPr>
      <w:r>
        <w:t>16. Remaining gaps before publication-level narrative</w:t>
      </w:r>
    </w:p>
    <w:p>
      <w:pPr>
        <w:pStyle w:val="ListBullet"/>
      </w:pPr>
      <w:r>
        <w:t>Collate a critical printed Varāha Purāṇa edition and record both chapter-number systems; map each of Viśvanātha’s twenty verses against Varāha, Padma, Brahma-vaivarta, Harivaṁśa or other claimed sources rather than repeating a composite attribution.</w:t>
      </w:r>
    </w:p>
    <w:p>
      <w:pPr>
        <w:pStyle w:val="ListBullet"/>
      </w:pPr>
      <w:r>
        <w:t>Inspect a stable Sanskrit edition of Sārārtha-darśinī and document whether the twenty-verse unit belongs under 10.36.15 or 10.36.16 in each witness.</w:t>
      </w:r>
    </w:p>
    <w:p>
      <w:pPr>
        <w:pStyle w:val="ListBullet"/>
      </w:pPr>
      <w:r>
        <w:t>Identify the local Govinda-līlāmṛta commentary file/recension and explain its sequence mismatch before using it for exact commentary claims.</w:t>
      </w:r>
    </w:p>
    <w:p>
      <w:pPr>
        <w:pStyle w:val="ListBullet"/>
      </w:pPr>
      <w:r>
        <w:t>Collate the printed Vraja-bhakti-vilāsa Śrī-kuṇḍavana passage, resolve or preserve the Dhenuka/Ariṣṭa problem, and verify the work’s date and Śrī-kuṇḍa colophon directly.</w:t>
      </w:r>
    </w:p>
    <w:p>
      <w:pPr>
        <w:pStyle w:val="ListBullet"/>
      </w:pPr>
      <w:r>
        <w:t>Obtain facsimiles or archival images for the 1579 and 1588 Persian declarations and the key retrospective deeds; verify original-language terms for well/tank, channel, ghāṭ, shrine and plot class.</w:t>
      </w:r>
    </w:p>
    <w:p>
      <w:pPr>
        <w:pStyle w:val="ListBullet"/>
      </w:pPr>
      <w:r>
        <w:t>Acquire Survey of India sheet 54 E/6, historical cadastral plans and later hydraulic surveys before assigning documentary landmarks to modern coordinates.</w:t>
      </w:r>
    </w:p>
    <w:p>
      <w:pPr>
        <w:pStyle w:val="ListBullet"/>
      </w:pPr>
      <w:r>
        <w:t>Test seasonal rice cultivation, basin hydrology and spoil-mound hypotheses against topography and historical agrarian practice; do not infer them solely from devotional narrative.</w:t>
      </w:r>
    </w:p>
    <w:p>
      <w:pPr>
        <w:pStyle w:val="ListBullet"/>
      </w:pPr>
      <w:r>
        <w:t>Preserve Kālī/Gaurī as B-layer local-name evidence unless an earlier independent witness is found.</w:t>
      </w:r>
    </w:p>
    <w:p>
      <w:pPr>
        <w:pStyle w:val="Heading1"/>
        <w:keepNext/>
      </w:pPr>
      <w:r>
        <w:t>17. Block 2 conclusion and next controlled move</w:t>
      </w:r>
    </w:p>
    <w:tbl>
      <w:tblPr>
        <w:tblStyle w:val="TableGrid"/>
        <w:tblW w:type="auto" w:w="0"/>
        <w:tblLook w:firstColumn="1" w:firstRow="1" w:lastColumn="0" w:lastRow="0" w:noHBand="0" w:noVBand="1" w:val="04A0"/>
      </w:tblPr>
      <w:tblGrid>
        <w:gridCol w:w="9360"/>
      </w:tblGrid>
      <w:tr>
        <w:tc>
          <w:tcPr>
            <w:tcW w:type="dxa" w:w="9360"/>
            <w:shd w:fill="E2F0D9"/>
            <w:tcMar>
              <w:top w:w="120" w:type="dxa"/>
              <w:start w:w="140" w:type="dxa"/>
              <w:bottom w:w="120" w:type="dxa"/>
              <w:end w:w="140" w:type="dxa"/>
            </w:tcMar>
          </w:tcPr>
          <w:p>
            <w:r>
              <w:rPr>
                <w:b/>
                <w:color w:val="1F4D78"/>
              </w:rPr>
              <w:t xml:space="preserve">BLOCK 2 RULING: </w:t>
            </w:r>
            <w:r>
              <w:t>PRE-DEVELOPMENT ĀRIṬ IS RECONSTRUCTED AT MODERATE RESOLUTION. The secure sequence is an inhabited agricultural village with two shallow, water-bearing paddy fields in the early-sixteenth-century account, followed by a documented mixed village-edge estate and highly probable Raghunātha-era restoration/excavation. A precise site plan and exact engineering chronology remain open.</w:t>
            </w:r>
          </w:p>
        </w:tc>
      </w:tr>
    </w:tbl>
    <w:p>
      <w:pPr>
        <w:spacing w:after="100" w:line="252" w:lineRule="auto"/>
      </w:pPr>
    </w:p>
    <w:p>
      <w:pPr>
        <w:spacing w:after="100" w:line="252" w:lineRule="auto"/>
      </w:pPr>
      <w:r>
        <w:rPr>
          <w:b/>
          <w:color w:val="1F4D78"/>
        </w:rPr>
        <w:t xml:space="preserve">NEXT CONTROLLED MOVE — BLOCK 3. </w:t>
      </w:r>
      <w:r>
        <w:t>Reconstruct Raghunātha dāsa Gosvāmī’s transformation of the site as an agency-and-works sequence: parcel acquisition; patron/donor tradition; labour and paṅkoddhāra/khodāila; relation of the six plots to the paired basins; hiba to Jīva; and the transition to the 1598 temple/endowment horizon. Block 3 must integrate Blocks 1–2 but should still precede the polished reader-facing chapter.</w:t>
      </w:r>
    </w:p>
    <w:p>
      <w:pPr>
        <w:pStyle w:val="Heading2"/>
        <w:keepNext/>
      </w:pPr>
      <w:r>
        <w:t>Online witnesses rechecked for Block 2</w:t>
      </w:r>
    </w:p>
    <w:p>
      <w:pPr>
        <w:pStyle w:val="ListBullet"/>
      </w:pPr>
      <w:hyperlink r:id="rId11">
        <w:r>
          <w:rPr>
            <w:color w:val="2E74B5"/>
            <w:u w:val="single"/>
          </w:rPr>
          <w:t>Śrīmad-Bhāgavatam 10.36</w:t>
        </w:r>
      </w:hyperlink>
    </w:p>
    <w:p>
      <w:pPr>
        <w:pStyle w:val="ListBullet"/>
      </w:pPr>
      <w:hyperlink r:id="rId12">
        <w:r>
          <w:rPr>
            <w:color w:val="2E74B5"/>
            <w:u w:val="single"/>
          </w:rPr>
          <w:t>Caitanya-caritāmṛta Madhya 18.3</w:t>
        </w:r>
      </w:hyperlink>
    </w:p>
    <w:p>
      <w:pPr>
        <w:pStyle w:val="ListBullet"/>
      </w:pPr>
      <w:hyperlink r:id="rId13">
        <w:r>
          <w:rPr>
            <w:color w:val="2E74B5"/>
            <w:u w:val="single"/>
          </w:rPr>
          <w:t>Caitanya-caritāmṛta Madhya 18.5</w:t>
        </w:r>
      </w:hyperlink>
    </w:p>
    <w:p>
      <w:pPr>
        <w:pStyle w:val="ListBullet"/>
      </w:pPr>
      <w:hyperlink r:id="rId14">
        <w:r>
          <w:rPr>
            <w:color w:val="2E74B5"/>
            <w:u w:val="single"/>
          </w:rPr>
          <w:t>Varāha Purāṇa 164</w:t>
        </w:r>
      </w:hyperlink>
    </w:p>
    <w:p>
      <w:pPr>
        <w:pStyle w:val="ListBullet"/>
      </w:pPr>
      <w:hyperlink r:id="rId15">
        <w:r>
          <w:rPr>
            <w:color w:val="2E74B5"/>
            <w:u w:val="single"/>
          </w:rPr>
          <w:t>Sārārtha-darśinī English PDF</w:t>
        </w:r>
      </w:hyperlink>
    </w:p>
    <w:p>
      <w:pPr>
        <w:pStyle w:val="ListBullet"/>
      </w:pPr>
      <w:hyperlink r:id="rId16">
        <w:r>
          <w:rPr>
            <w:color w:val="2E74B5"/>
            <w:u w:val="single"/>
          </w:rPr>
          <w:t>Grantha Mandira entry: Rādhā-kuṇḍotpatti-varṇanam</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E75"/>
        <w:sz w:val="16"/>
      </w:rPr>
      <w:t xml:space="preserve">GOVARDHANA PILGRIMAGE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7F8C8D"/>
        <w:sz w:val="14"/>
      </w:rPr>
      <w:t>RK-05  /  HISTORICAL &amp; PHYSICAL RĀDHĀ-KUṆḌA  /  BLOCKS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29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59" w:lineRule="auto"/>
    </w:pPr>
    <w:rPr>
      <w:rFonts w:ascii="Calibri" w:hAnsi="Calibri"/>
      <w:color w:val="24292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vedabase.net/sb/10/36/index.htm" TargetMode="External"/><Relationship Id="rId12" Type="http://schemas.openxmlformats.org/officeDocument/2006/relationships/hyperlink" Target="https://vedabase.io/en/library/cc/madhya/18/3/" TargetMode="External"/><Relationship Id="rId13" Type="http://schemas.openxmlformats.org/officeDocument/2006/relationships/hyperlink" Target="https://vedabase.io/en/library/cc/madhya/18/5/" TargetMode="External"/><Relationship Id="rId14" Type="http://schemas.openxmlformats.org/officeDocument/2006/relationships/hyperlink" Target="https://vedapath.app/en/varaha-purana/164" TargetMode="External"/><Relationship Id="rId15" Type="http://schemas.openxmlformats.org/officeDocument/2006/relationships/hyperlink" Target="https://prabhupada-media.net/book-pdf/Sarartha-Darsini-Visvanatha-Cakravarti-Thakura.pdf" TargetMode="External"/><Relationship Id="rId16" Type="http://schemas.openxmlformats.org/officeDocument/2006/relationships/hyperlink" Target="https://grantha.jiva.org/index.php?e_no=690&amp;show=en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RK-05 — Historical &amp; Physical Rādhā-kuṇḍa Research Ledger v0.2</dc:title>
  <dc:subject>Blocks 1–2: documentary source control and pre-development Āriṭ reconstruction</dc:subject>
  <dc:creator>Govardhana Pilgrimage Project</dc:creator>
  <cp:keywords/>
  <dc:description>v0.2 preserves Block 1 and adds the controlled Block 2 evidence ledger and reconstruction.</dc:description>
  <cp:lastModifiedBy/>
  <cp:revision>1</cp:revision>
  <dcterms:created xsi:type="dcterms:W3CDTF">2013-12-23T23:15:00Z</dcterms:created>
  <dcterms:modified xsi:type="dcterms:W3CDTF">2013-12-23T23:15:00Z</dcterms:modified>
  <cp:category/>
</cp:coreProperties>
</file>