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Research Series</w:t>
      </w:r>
    </w:p>
    <w:p>
      <w:pPr>
        <w:jc w:val="center"/>
      </w:pPr>
      <w:r>
        <w:rPr>
          <w:b/>
          <w:color w:val="7B2638"/>
          <w:sz w:val="56"/>
        </w:rPr>
        <w:t>RS-01</w:t>
      </w:r>
    </w:p>
    <w:p>
      <w:pPr>
        <w:jc w:val="center"/>
      </w:pPr>
      <w:r>
        <w:rPr>
          <w:b/>
          <w:color w:val="7B2638"/>
          <w:sz w:val="44"/>
        </w:rPr>
        <w:t>The Manifestation Narrative</w:t>
      </w:r>
    </w:p>
    <w:p>
      <w:pPr>
        <w:jc w:val="center"/>
      </w:pPr>
      <w:r>
        <w:rPr>
          <w:i/>
          <w:sz w:val="23"/>
        </w:rPr>
        <w:t>Textual genealogy, twenty-verse narrative spine, naming history, and source-critical controls</w:t>
      </w:r>
    </w:p>
    <w:p/>
    <w:tbl>
      <w:tblPr>
        <w:tblW w:type="auto" w:w="0"/>
        <w:jc w:val="center"/>
        <w:tblLayout w:type="autofit"/>
        <w:tblLook w:firstColumn="1" w:firstRow="1" w:lastColumn="0" w:lastRow="0" w:noHBand="0" w:noVBand="1" w:val="04A0"/>
      </w:tblPr>
      <w:tblGrid>
        <w:gridCol w:w="10166"/>
      </w:tblGrid>
      <w:tr>
        <w:tc>
          <w:tcPr>
            <w:tcW w:type="dxa" w:w="10166"/>
            <w:shd w:fill="F3EBDD"/>
          </w:tcPr>
          <w:p>
            <w:pPr>
              <w:spacing w:after="40"/>
            </w:pPr>
            <w:r>
              <w:rPr>
                <w:b/>
                <w:color w:val="7B2638"/>
              </w:rPr>
              <w:t xml:space="preserve">RECONSTRUCTION STATUS  </w:t>
            </w:r>
            <w:r>
              <w:t>This is a reconstructed replacement for the lost RS-01. It is rebuilt from recoverable project-thread decisions and from the downstream documents that depended on RS-01 (especially the master Rādhā-kuṇḍa dossier and RS-02). It is intended to restore the research function of the lost document, not to claim byte-for-byte identity with the original.</w:t>
            </w:r>
          </w:p>
        </w:tc>
      </w:tr>
    </w:tbl>
    <w:p>
      <w:pPr>
        <w:jc w:val="center"/>
      </w:pPr>
      <w:r>
        <w:rPr>
          <w:color w:val="5A5A5A"/>
          <w:sz w:val="20"/>
        </w:rPr>
        <w:t>Research control document • reconstructed v1.0 • 22 August 2026</w:t>
      </w:r>
    </w:p>
    <w:p>
      <w:pPr>
        <w:jc w:val="center"/>
      </w:pPr>
      <w:r>
        <w:rPr>
          <w:b/>
          <w:sz w:val="21"/>
        </w:rPr>
        <w:t>Narrative/source genealogy restored; critical Sanskrit text of the twenty-verse unit remains a separate verification task</w:t>
      </w:r>
    </w:p>
    <w:p>
      <w:r>
        <w:br w:type="page"/>
      </w:r>
    </w:p>
    <w:p>
      <w:pPr>
        <w:pStyle w:val="Heading1"/>
      </w:pPr>
      <w:r>
        <w:t>1. Reconstruction ruling and scope</w:t>
      </w:r>
    </w:p>
    <w:p>
      <w:r>
        <w:t>RS-01 is the textual-foundation unit for the Rādhā-kuṇḍa manifestation story. Its job is narrower than RS-02: RS-01 establishes what the sources actually narrate, in what order, under what names, and with what source-critical limits. RS-02 then interprets the same narrative theologically.</w:t>
      </w:r>
    </w:p>
    <w:tbl>
      <w:tblPr>
        <w:tblW w:type="auto" w:w="0"/>
        <w:jc w:val="center"/>
        <w:tblLayout w:type="autofit"/>
        <w:tblLook w:firstColumn="1" w:firstRow="1" w:lastColumn="0" w:lastRow="0" w:noHBand="0" w:noVBand="1" w:val="04A0"/>
      </w:tblPr>
      <w:tblGrid>
        <w:gridCol w:w="10166"/>
      </w:tblGrid>
      <w:tr>
        <w:tc>
          <w:tcPr>
            <w:tcW w:type="dxa" w:w="10166"/>
            <w:shd w:fill="F3EBDD"/>
          </w:tcPr>
          <w:p>
            <w:pPr>
              <w:spacing w:after="40"/>
            </w:pPr>
            <w:r>
              <w:rPr>
                <w:b/>
                <w:color w:val="7B2638"/>
              </w:rPr>
              <w:t xml:space="preserve">BOTTOM LINE  </w:t>
            </w:r>
            <w:r>
              <w:t>The root Śrīmad-Bhāgavatam narrative ends with Ariṣṭāsura’s defeat and does not itself narrate the manifestation of the twin kuṇḍas. The full familiar sequence is preserved by Viśvanātha Cakravartī in his commentary in connection with ŚB 10.36.16 as a twenty-verse Purāṇic account. The exact Purāṇic work or recension from which that twenty-verse unit derives has not been independently established in the project and must remain unresolved.</w:t>
            </w:r>
          </w:p>
        </w:tc>
      </w:tr>
    </w:tbl>
    <w:p>
      <w:r>
        <w:t>Recovered project-thread sequence: Śrīmad-Bhāgavatam 10.36 → the twenty-verse Purāṇic account transmitted by Viśvanātha → Rūpa Gosvāmī’s Mathurā-māhātmya 418–423 → Raghunātha dāsa Gosvāmī’s Rādhā-kuṇḍāṣṭaka and Vraja-vilāsa-stava → Caitanya-caritāmṛta Madhya 18 → early Vraja pilgrimage/localization witnesses such as Vraja-bhakti-vilāsa and Bhakti-ratnākara.</w:t>
      </w:r>
    </w:p>
    <w:p>
      <w:pPr>
        <w:pStyle w:val="Heading1"/>
      </w:pPr>
      <w:r>
        <w:t>2. Evidence layers used in RS-01</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7B2638"/>
          </w:tcPr>
          <w:p>
            <w:r>
              <w:rPr>
                <w:b/>
                <w:color w:val="FFFFFF"/>
              </w:rPr>
              <w:t>Layer</w:t>
            </w:r>
          </w:p>
        </w:tc>
        <w:tc>
          <w:tcPr>
            <w:tcW w:type="dxa" w:w="2541"/>
            <w:shd w:fill="7B2638"/>
          </w:tcPr>
          <w:p>
            <w:r>
              <w:rPr>
                <w:b/>
                <w:color w:val="FFFFFF"/>
              </w:rPr>
              <w:t>Evidence in this unit</w:t>
            </w:r>
          </w:p>
        </w:tc>
        <w:tc>
          <w:tcPr>
            <w:tcW w:type="dxa" w:w="2541"/>
            <w:shd w:fill="7B2638"/>
          </w:tcPr>
          <w:p>
            <w:r>
              <w:rPr>
                <w:b/>
                <w:color w:val="FFFFFF"/>
              </w:rPr>
              <w:t>What it can establish</w:t>
            </w:r>
          </w:p>
        </w:tc>
        <w:tc>
          <w:tcPr>
            <w:tcW w:type="dxa" w:w="2541"/>
            <w:shd w:fill="7B2638"/>
          </w:tcPr>
          <w:p>
            <w:r>
              <w:rPr>
                <w:b/>
                <w:color w:val="FFFFFF"/>
              </w:rPr>
              <w:t>Boundary</w:t>
            </w:r>
          </w:p>
        </w:tc>
      </w:tr>
      <w:tr>
        <w:tc>
          <w:tcPr>
            <w:tcW w:type="dxa" w:w="2541"/>
            <w:vAlign w:val="top"/>
          </w:tcPr>
          <w:p>
            <w:r>
              <w:t>A — Primary / Gosvāmī</w:t>
            </w:r>
          </w:p>
        </w:tc>
        <w:tc>
          <w:tcPr>
            <w:tcW w:type="dxa" w:w="2541"/>
            <w:vAlign w:val="top"/>
          </w:tcPr>
          <w:p>
            <w:r>
              <w:t>Śrīmad-Bhāgavatam; Viśvanātha’s commentary; Rūpa; Raghunātha; Caitanya-caritāmṛta</w:t>
            </w:r>
          </w:p>
        </w:tc>
        <w:tc>
          <w:tcPr>
            <w:tcW w:type="dxa" w:w="2541"/>
            <w:vAlign w:val="top"/>
          </w:tcPr>
          <w:p>
            <w:r>
              <w:t>Narrative foundation, Gosvāmī reception, names, theology-bearing wording</w:t>
            </w:r>
          </w:p>
        </w:tc>
        <w:tc>
          <w:tcPr>
            <w:tcW w:type="dxa" w:w="2541"/>
            <w:vAlign w:val="top"/>
          </w:tcPr>
          <w:p>
            <w:r>
              <w:t>Do not attribute the twenty-verse unit to a specific Purāṇa until verified.</w:t>
            </w:r>
          </w:p>
        </w:tc>
      </w:tr>
      <w:tr>
        <w:tc>
          <w:tcPr>
            <w:tcW w:type="dxa" w:w="2541"/>
            <w:vAlign w:val="top"/>
          </w:tcPr>
          <w:p>
            <w:r>
              <w:t>B — Early Vraja pilgrimage</w:t>
            </w:r>
          </w:p>
        </w:tc>
        <w:tc>
          <w:tcPr>
            <w:tcW w:type="dxa" w:w="2541"/>
            <w:vAlign w:val="top"/>
          </w:tcPr>
          <w:p>
            <w:r>
              <w:t>Vraja-bhakti-vilāsa; Bhakti-ratnākara</w:t>
            </w:r>
          </w:p>
        </w:tc>
        <w:tc>
          <w:tcPr>
            <w:tcW w:type="dxa" w:w="2541"/>
            <w:vAlign w:val="top"/>
          </w:tcPr>
          <w:p>
            <w:r>
              <w:t>Early localization, pilgrimage memory, later reception of the kuṇḍas</w:t>
            </w:r>
          </w:p>
        </w:tc>
        <w:tc>
          <w:tcPr>
            <w:tcW w:type="dxa" w:w="2541"/>
            <w:vAlign w:val="top"/>
          </w:tcPr>
          <w:p>
            <w:r>
              <w:t>Does not replace the earlier A-level narrative witnesses.</w:t>
            </w:r>
          </w:p>
        </w:tc>
      </w:tr>
      <w:tr>
        <w:tc>
          <w:tcPr>
            <w:tcW w:type="dxa" w:w="2541"/>
            <w:vAlign w:val="top"/>
          </w:tcPr>
          <w:p>
            <w:r>
              <w:t>C — Later/local</w:t>
            </w:r>
          </w:p>
        </w:tc>
        <w:tc>
          <w:tcPr>
            <w:tcW w:type="dxa" w:w="2541"/>
            <w:vAlign w:val="top"/>
          </w:tcPr>
          <w:p>
            <w:r>
              <w:t>Ananta Dāsa Bābājī; modern parikramā retellings</w:t>
            </w:r>
          </w:p>
        </w:tc>
        <w:tc>
          <w:tcPr>
            <w:tcW w:type="dxa" w:w="2541"/>
            <w:vAlign w:val="top"/>
          </w:tcPr>
          <w:p>
            <w:r>
              <w:t>Received narration, later terminology, living devotional explanation</w:t>
            </w:r>
          </w:p>
        </w:tc>
        <w:tc>
          <w:tcPr>
            <w:tcW w:type="dxa" w:w="2541"/>
            <w:vAlign w:val="top"/>
          </w:tcPr>
          <w:p>
            <w:r>
              <w:t>Useful for navigation; do not backdate details automatically.</w:t>
            </w:r>
          </w:p>
        </w:tc>
      </w:tr>
      <w:tr>
        <w:tc>
          <w:tcPr>
            <w:tcW w:type="dxa" w:w="2541"/>
            <w:vAlign w:val="top"/>
          </w:tcPr>
          <w:p>
            <w:r>
              <w:t>D — Historical/documentary</w:t>
            </w:r>
          </w:p>
        </w:tc>
        <w:tc>
          <w:tcPr>
            <w:tcW w:type="dxa" w:w="2541"/>
            <w:vAlign w:val="top"/>
          </w:tcPr>
          <w:p>
            <w:r>
              <w:t>Not the controlling layer for the manifestation līlā itself</w:t>
            </w:r>
          </w:p>
        </w:tc>
        <w:tc>
          <w:tcPr>
            <w:tcW w:type="dxa" w:w="2541"/>
            <w:vAlign w:val="top"/>
          </w:tcPr>
          <w:p>
            <w:r>
              <w:t>Historical form, deeds, land, later physical development</w:t>
            </w:r>
          </w:p>
        </w:tc>
        <w:tc>
          <w:tcPr>
            <w:tcW w:type="dxa" w:w="2541"/>
            <w:vAlign w:val="top"/>
          </w:tcPr>
          <w:p>
            <w:r>
              <w:t>Belongs primarily to RK-05, not to the origin narrative.</w:t>
            </w:r>
          </w:p>
        </w:tc>
      </w:tr>
    </w:tbl>
    <w:p>
      <w:pPr>
        <w:pStyle w:val="Heading1"/>
      </w:pPr>
      <w:r>
        <w:t>3. Śrīmad-Bhāgavatam 10.36 — the necessary starting point</w:t>
      </w:r>
    </w:p>
    <w:p>
      <w:r>
        <w:t>The Ariṣṭāsura episode in Śrīmad-Bhāgavatam 10.36 is the narrative foundation. Ariṣṭa enters Vraja in the form of a terrifying bull, Kṛṣṇa confronts and kills him, and the root account moves onward. The project’s controlling negative finding is as important as the positive one:</w:t>
      </w:r>
    </w:p>
    <w:tbl>
      <w:tblPr>
        <w:tblW w:type="auto" w:w="0"/>
        <w:jc w:val="center"/>
        <w:tblLayout w:type="autofit"/>
        <w:tblLook w:firstColumn="1" w:firstRow="1" w:lastColumn="0" w:lastRow="0" w:noHBand="0" w:noVBand="1" w:val="04A0"/>
      </w:tblPr>
      <w:tblGrid>
        <w:gridCol w:w="10166"/>
      </w:tblGrid>
      <w:tr>
        <w:tc>
          <w:tcPr>
            <w:tcW w:type="dxa" w:w="10166"/>
            <w:shd w:fill="F3EBDD"/>
          </w:tcPr>
          <w:p>
            <w:pPr>
              <w:spacing w:after="40"/>
            </w:pPr>
            <w:r>
              <w:rPr>
                <w:b/>
                <w:color w:val="7B2638"/>
              </w:rPr>
              <w:t xml:space="preserve">NEGATIVE FINDING  </w:t>
            </w:r>
            <w:r>
              <w:t>The Bhāgavatam root verses do not narrate Rādhā’s accusation of bull-killing, Kṛṣṇa’s summoning of the tīrthas, the heel-struck pond, Rādhā and the sakhīs digging a second pond, the joining of the waters, or the reciprocal declarations concerning the kuṇḍas.</w:t>
            </w:r>
          </w:p>
        </w:tc>
      </w:tr>
    </w:tbl>
    <w:p>
      <w:pPr>
        <w:spacing w:before="40" w:after="120"/>
        <w:ind w:left="360" w:right="216"/>
      </w:pPr>
      <w:r>
        <w:rPr>
          <w:b/>
          <w:color w:val="7B2638"/>
        </w:rPr>
        <w:t xml:space="preserve">SOURCE NOTE — </w:t>
      </w:r>
      <w:r>
        <w:t>In the project dossier this boundary is preserved explicitly so that later Gauḍīya expansion is not silently placed into the Bhāgavatam root text.</w:t>
      </w:r>
    </w:p>
    <w:p>
      <w:pPr>
        <w:pStyle w:val="Heading1"/>
      </w:pPr>
      <w:r>
        <w:t>4. The twenty-verse account transmitted by Viśvanātha</w:t>
      </w:r>
    </w:p>
    <w:p>
      <w:r>
        <w:t>The full manifestation story used by Gauḍīya tradition is preserved by Viśvanātha Cakravartī in his commentary in connection with ŚB 10.36.16 (one later devotional source numbers the commented Bhāgavatam verse differently; the project’s controlled locus is 10.36.16). The account is presented there as Purāṇic material.</w:t>
      </w:r>
    </w:p>
    <w:tbl>
      <w:tblPr>
        <w:tblW w:type="auto" w:w="0"/>
        <w:jc w:val="center"/>
        <w:tblLayout w:type="autofit"/>
        <w:tblLook w:firstColumn="1" w:firstRow="1" w:lastColumn="0" w:lastRow="0" w:noHBand="0" w:noVBand="1" w:val="04A0"/>
      </w:tblPr>
      <w:tblGrid>
        <w:gridCol w:w="10166"/>
      </w:tblGrid>
      <w:tr>
        <w:tc>
          <w:tcPr>
            <w:tcW w:type="dxa" w:w="10166"/>
            <w:shd w:fill="F3EBDD"/>
          </w:tcPr>
          <w:p>
            <w:pPr>
              <w:spacing w:after="40"/>
            </w:pPr>
            <w:r>
              <w:rPr>
                <w:b/>
                <w:color w:val="7B2638"/>
              </w:rPr>
              <w:t xml:space="preserve">PROVENANCE CAUTION  </w:t>
            </w:r>
            <w:r>
              <w:t>Do not write “the Padma Purāṇa narrates the twenty-verse manifestation story” or assign another Purāṇa title unless the exact underlying recension has been checked. The safe formula is: “a twenty-verse Purāṇic account preserved/transmitted by Viśvanātha Cakravartī in his commentary on Śrīmad-Bhāgavatam 10.36.16.”</w:t>
            </w:r>
          </w:p>
        </w:tc>
      </w:tr>
    </w:tbl>
    <w:p>
      <w:pPr>
        <w:pStyle w:val="Heading1"/>
      </w:pPr>
      <w:r>
        <w:t>5. The twenty-verse narrative spine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7B2638"/>
          </w:tcPr>
          <w:p>
            <w:r>
              <w:rPr>
                <w:b/>
                <w:color w:val="FFFFFF"/>
              </w:rPr>
              <w:t>Verses</w:t>
            </w:r>
          </w:p>
        </w:tc>
        <w:tc>
          <w:tcPr>
            <w:tcW w:type="dxa" w:w="2541"/>
            <w:shd w:fill="7B2638"/>
          </w:tcPr>
          <w:p>
            <w:r>
              <w:rPr>
                <w:b/>
                <w:color w:val="FFFFFF"/>
              </w:rPr>
              <w:t>Narrative movement</w:t>
            </w:r>
          </w:p>
        </w:tc>
        <w:tc>
          <w:tcPr>
            <w:tcW w:type="dxa" w:w="2541"/>
            <w:shd w:fill="7B2638"/>
          </w:tcPr>
          <w:p>
            <w:r>
              <w:rPr>
                <w:b/>
                <w:color w:val="FFFFFF"/>
              </w:rPr>
              <w:t>Controlled content</w:t>
            </w:r>
          </w:p>
        </w:tc>
        <w:tc>
          <w:tcPr>
            <w:tcW w:type="dxa" w:w="2541"/>
            <w:shd w:fill="7B2638"/>
          </w:tcPr>
          <w:p>
            <w:r>
              <w:rPr>
                <w:b/>
                <w:color w:val="FFFFFF"/>
              </w:rPr>
              <w:t>RS-01 ruling</w:t>
            </w:r>
          </w:p>
        </w:tc>
      </w:tr>
      <w:tr>
        <w:tc>
          <w:tcPr>
            <w:tcW w:type="dxa" w:w="2541"/>
            <w:vAlign w:val="top"/>
          </w:tcPr>
          <w:p>
            <w:r>
              <w:t>1–2</w:t>
            </w:r>
          </w:p>
        </w:tc>
        <w:tc>
          <w:tcPr>
            <w:tcW w:type="dxa" w:w="2541"/>
            <w:vAlign w:val="top"/>
          </w:tcPr>
          <w:p>
            <w:r>
              <w:t>Playful dharma challenge</w:t>
            </w:r>
          </w:p>
        </w:tc>
        <w:tc>
          <w:tcPr>
            <w:tcW w:type="dxa" w:w="2541"/>
            <w:vAlign w:val="top"/>
          </w:tcPr>
          <w:p>
            <w:r>
              <w:t>After Ariṣṭa’s death, Rādhā/the gopīs charge Kṛṣṇa with the pollution associated with killing a bull and tell Him purification requires bathing in all tīrthas.</w:t>
            </w:r>
          </w:p>
        </w:tc>
        <w:tc>
          <w:tcPr>
            <w:tcW w:type="dxa" w:w="2541"/>
            <w:vAlign w:val="top"/>
          </w:tcPr>
          <w:p>
            <w:r>
              <w:t>Narrative opening; RS-02 later controls the theological reading through Rādhā-kuṇḍāṣṭaka 1.</w:t>
            </w:r>
          </w:p>
        </w:tc>
      </w:tr>
      <w:tr>
        <w:tc>
          <w:tcPr>
            <w:tcW w:type="dxa" w:w="2541"/>
            <w:vAlign w:val="top"/>
          </w:tcPr>
          <w:p>
            <w:r>
              <w:t>3–6</w:t>
            </w:r>
          </w:p>
        </w:tc>
        <w:tc>
          <w:tcPr>
            <w:tcW w:type="dxa" w:w="2541"/>
            <w:vAlign w:val="top"/>
          </w:tcPr>
          <w:p>
            <w:r>
              <w:t>Kṛṣṇa manifests His pond</w:t>
            </w:r>
          </w:p>
        </w:tc>
        <w:tc>
          <w:tcPr>
            <w:tcW w:type="dxa" w:w="2541"/>
            <w:vAlign w:val="top"/>
          </w:tcPr>
          <w:p>
            <w:r>
              <w:t>Kṛṣṇa refuses an ordinary pilgrimage, strikes the earth with His heel, brings forth water associated with subterranean Bhogavatī, summons the holy places, has them identify themselves, and bathes.</w:t>
            </w:r>
          </w:p>
        </w:tc>
        <w:tc>
          <w:tcPr>
            <w:tcW w:type="dxa" w:w="2541"/>
            <w:vAlign w:val="top"/>
          </w:tcPr>
          <w:p>
            <w:r>
              <w:t>The pond is called Kṛṣṇa-kuṇḍa / associated with Ariṣṭa-mardana terminology in the early narrative stream.</w:t>
            </w:r>
          </w:p>
        </w:tc>
      </w:tr>
      <w:tr>
        <w:tc>
          <w:tcPr>
            <w:tcW w:type="dxa" w:w="2541"/>
            <w:vAlign w:val="top"/>
          </w:tcPr>
          <w:p>
            <w:r>
              <w:t>7–10</w:t>
            </w:r>
          </w:p>
        </w:tc>
        <w:tc>
          <w:tcPr>
            <w:tcW w:type="dxa" w:w="2541"/>
            <w:vAlign w:val="top"/>
          </w:tcPr>
          <w:p>
            <w:r>
              <w:t>Rādhā manifests Her pond</w:t>
            </w:r>
          </w:p>
        </w:tc>
        <w:tc>
          <w:tcPr>
            <w:tcW w:type="dxa" w:w="2541"/>
            <w:vAlign w:val="top"/>
          </w:tcPr>
          <w:p>
            <w:r>
              <w:t>Rādhā declares that She and the sakhīs will make their own beautiful pond. They choose the western depression formed by Ariṣṭa’s hoofprints and excavate it with their own hands. Kṛṣṇa offers water from His pond; Rādhā refuses and proposes filling Hers with Mānasa-gaṅgā water.</w:t>
            </w:r>
          </w:p>
        </w:tc>
        <w:tc>
          <w:tcPr>
            <w:tcW w:type="dxa" w:w="2541"/>
            <w:vAlign w:val="top"/>
          </w:tcPr>
          <w:p>
            <w:r>
              <w:t>Do not add the popular ‘bangles as digging tools’ detail unless separately sourced; the controlled early wording is excavation by hand.</w:t>
            </w:r>
          </w:p>
        </w:tc>
      </w:tr>
      <w:tr>
        <w:tc>
          <w:tcPr>
            <w:tcW w:type="dxa" w:w="2541"/>
            <w:vAlign w:val="top"/>
          </w:tcPr>
          <w:p>
            <w:r>
              <w:t>11–16</w:t>
            </w:r>
          </w:p>
        </w:tc>
        <w:tc>
          <w:tcPr>
            <w:tcW w:type="dxa" w:w="2541"/>
            <w:vAlign w:val="top"/>
          </w:tcPr>
          <w:p>
            <w:r>
              <w:t>The tīrthas petition Rādhā</w:t>
            </w:r>
          </w:p>
        </w:tc>
        <w:tc>
          <w:tcPr>
            <w:tcW w:type="dxa" w:w="2541"/>
            <w:vAlign w:val="top"/>
          </w:tcPr>
          <w:p>
            <w:r>
              <w:t>At Kṛṣṇa’s indication the personified tīrthas emerge, bow to Rādhā, praise Her, and request permission to enter Her lake. Rādhā asks their desire and grants consent.</w:t>
            </w:r>
          </w:p>
        </w:tc>
        <w:tc>
          <w:tcPr>
            <w:tcW w:type="dxa" w:w="2541"/>
            <w:vAlign w:val="top"/>
          </w:tcPr>
          <w:p>
            <w:r>
              <w:t>Admission is by Rādhā’s permission; RS-02 develops the theological significance of prasāda/grace.</w:t>
            </w:r>
          </w:p>
        </w:tc>
      </w:tr>
      <w:tr>
        <w:tc>
          <w:tcPr>
            <w:tcW w:type="dxa" w:w="2541"/>
            <w:vAlign w:val="top"/>
          </w:tcPr>
          <w:p>
            <w:r>
              <w:t>17</w:t>
            </w:r>
          </w:p>
        </w:tc>
        <w:tc>
          <w:tcPr>
            <w:tcW w:type="dxa" w:w="2541"/>
            <w:vAlign w:val="top"/>
          </w:tcPr>
          <w:p>
            <w:r>
              <w:t>The waters join</w:t>
            </w:r>
          </w:p>
        </w:tc>
        <w:tc>
          <w:tcPr>
            <w:tcW w:type="dxa" w:w="2541"/>
            <w:vAlign w:val="top"/>
          </w:tcPr>
          <w:p>
            <w:r>
              <w:t>After receiving Rādhā’s consent, the tīrthas in Kṛṣṇa’s pond pierce/break the separating bank and fill Rādhā-kuṇḍa.</w:t>
            </w:r>
          </w:p>
        </w:tc>
        <w:tc>
          <w:tcPr>
            <w:tcW w:type="dxa" w:w="2541"/>
            <w:vAlign w:val="top"/>
          </w:tcPr>
          <w:p>
            <w:r>
              <w:t>Narrative joining of the waters; do not equate this automatically with the footprint or engineering history of the modern causeway.</w:t>
            </w:r>
          </w:p>
        </w:tc>
      </w:tr>
      <w:tr>
        <w:tc>
          <w:tcPr>
            <w:tcW w:type="dxa" w:w="2541"/>
            <w:vAlign w:val="top"/>
          </w:tcPr>
          <w:p>
            <w:r>
              <w:t>18</w:t>
            </w:r>
          </w:p>
        </w:tc>
        <w:tc>
          <w:tcPr>
            <w:tcW w:type="dxa" w:w="2541"/>
            <w:vAlign w:val="top"/>
          </w:tcPr>
          <w:p>
            <w:r>
              <w:t>Kṛṣṇa’s declaration</w:t>
            </w:r>
          </w:p>
        </w:tc>
        <w:tc>
          <w:tcPr>
            <w:tcW w:type="dxa" w:w="2541"/>
            <w:vAlign w:val="top"/>
          </w:tcPr>
          <w:p>
            <w:r>
              <w:t>Kṛṣṇa declares Rādhā’s pond greater/more glorious than His and says He will bathe and perform water-sports there daily, loving the pond as He loves Rādhā.</w:t>
            </w:r>
          </w:p>
        </w:tc>
        <w:tc>
          <w:tcPr>
            <w:tcW w:type="dxa" w:w="2541"/>
            <w:vAlign w:val="top"/>
          </w:tcPr>
          <w:p>
            <w:r>
              <w:t>Major direct bridge to later dearness theology.</w:t>
            </w:r>
          </w:p>
        </w:tc>
      </w:tr>
      <w:tr>
        <w:tc>
          <w:tcPr>
            <w:tcW w:type="dxa" w:w="2541"/>
            <w:vAlign w:val="top"/>
          </w:tcPr>
          <w:p>
            <w:r>
              <w:t>19</w:t>
            </w:r>
          </w:p>
        </w:tc>
        <w:tc>
          <w:tcPr>
            <w:tcW w:type="dxa" w:w="2541"/>
            <w:vAlign w:val="top"/>
          </w:tcPr>
          <w:p>
            <w:r>
              <w:t>Rādhā’s reciprocal declaration</w:t>
            </w:r>
          </w:p>
        </w:tc>
        <w:tc>
          <w:tcPr>
            <w:tcW w:type="dxa" w:w="2541"/>
            <w:vAlign w:val="top"/>
          </w:tcPr>
          <w:p>
            <w:r>
              <w:t>Rādhā says She will also bathe with Her sakhīs in the pond of Ariṣṭa’s subduer and blesses those devoted to/residing by it.</w:t>
            </w:r>
          </w:p>
        </w:tc>
        <w:tc>
          <w:tcPr>
            <w:tcW w:type="dxa" w:w="2541"/>
            <w:vAlign w:val="top"/>
          </w:tcPr>
          <w:p>
            <w:r>
              <w:t>The account is reciprocal; do not narrate the conclusion as unilateral denigration of Kṛṣṇa’s pond.</w:t>
            </w:r>
          </w:p>
        </w:tc>
      </w:tr>
      <w:tr>
        <w:tc>
          <w:tcPr>
            <w:tcW w:type="dxa" w:w="2541"/>
            <w:vAlign w:val="top"/>
          </w:tcPr>
          <w:p>
            <w:r>
              <w:t>20</w:t>
            </w:r>
          </w:p>
        </w:tc>
        <w:tc>
          <w:tcPr>
            <w:tcW w:type="dxa" w:w="2541"/>
            <w:vAlign w:val="top"/>
          </w:tcPr>
          <w:p>
            <w:r>
              <w:t>Rāsa that night</w:t>
            </w:r>
          </w:p>
        </w:tc>
        <w:tc>
          <w:tcPr>
            <w:tcW w:type="dxa" w:w="2541"/>
            <w:vAlign w:val="top"/>
          </w:tcPr>
          <w:p>
            <w:r>
              <w:t>That night Rādhā and Kṛṣṇa celebrate rāsa, spreading the glory of the kuṇḍas through the three worlds.</w:t>
            </w:r>
          </w:p>
        </w:tc>
        <w:tc>
          <w:tcPr>
            <w:tcW w:type="dxa" w:w="2541"/>
            <w:vAlign w:val="top"/>
          </w:tcPr>
          <w:p>
            <w:r>
              <w:t>Narrative culmination and transition from manifestation to eternal līlā reception.</w:t>
            </w:r>
          </w:p>
        </w:tc>
      </w:tr>
    </w:tbl>
    <w:p>
      <w:pPr>
        <w:pStyle w:val="Heading1"/>
      </w:pPr>
      <w:r>
        <w:t>6. Detailed narrative reconstruction</w:t>
      </w:r>
    </w:p>
    <w:p>
      <w:pPr>
        <w:pStyle w:val="Heading2"/>
      </w:pPr>
      <w:r>
        <w:t>6.1 The accusation after Ariṣṭa’s death</w:t>
      </w:r>
    </w:p>
    <w:p>
      <w:r>
        <w:t>The story begins only after the bull-demon has been killed. Rādhā and Her companions refuse Kṛṣṇa’s touch and frame the problem in the language of dharma: Ariṣṭa bore the form of a bull, and Kṛṣṇa must therefore purify Himself by bathing in the holy waters of the universe. The lost-thread research already distinguished this dramatic charge from the Bhāgavatam root narrative.</w:t>
      </w:r>
    </w:p>
    <w:p>
      <w:pPr>
        <w:pStyle w:val="Heading2"/>
      </w:pPr>
      <w:r>
        <w:t>6.2 Kṛṣṇa refuses an ordinary pilgrimage</w:t>
      </w:r>
    </w:p>
    <w:p>
      <w:r>
        <w:t>Kṛṣṇa answers the challenge not by traveling from tīrtha to tīrtha but by bringing sacred geography to Vraja. He strikes the earth with His heel; water appears; the tīrthas are summoned and identify themselves. He bathes and presents the resulting pond as containing the holy places.</w:t>
      </w:r>
    </w:p>
    <w:p>
      <w:pPr>
        <w:pStyle w:val="Heading2"/>
      </w:pPr>
      <w:r>
        <w:t>6.3 Rādhā and the sakhīs create an independent lake</w:t>
      </w:r>
    </w:p>
    <w:p>
      <w:r>
        <w:t>Rādhā does not simply accept Kṛṣṇa’s solution. She tells the sakhīs that they too will make an extraordinarily beautiful pond. The selected site lies to the west of Kṛṣṇa’s pond, in a large depression made by Ariṣṭa’s hooves. The companions remove the soft earth with their own hands, rapidly revealing the new lake.</w:t>
      </w:r>
    </w:p>
    <w:p>
      <w:pPr>
        <w:pStyle w:val="Heading2"/>
      </w:pPr>
      <w:r>
        <w:t>6.4 Rādhā refuses Kṛṣṇa-kuṇḍa water</w:t>
      </w:r>
    </w:p>
    <w:p>
      <w:r>
        <w:t>Kṛṣṇa offers to fill Her new pond from His own. Rādhā refuses, maintaining the dramatic logic of the earlier charge, and proposes that innumerable sakhīs bring water from Mānasa-gaṅgā in pitchers. This refusal is an essential narrative hinge; it creates the occasion for the tīrthas themselves to petition Her.</w:t>
      </w:r>
    </w:p>
    <w:p>
      <w:pPr>
        <w:pStyle w:val="Heading2"/>
      </w:pPr>
      <w:r>
        <w:t>6.5 The personified tīrthas approach Rādhā</w:t>
      </w:r>
    </w:p>
    <w:p>
      <w:r>
        <w:t>At Kṛṣṇa’s indication the tīrthas assume divine forms, bow, shed tears, praise Rādhā, and ask for entry into Her lake. Rādhā asks what boon they desire. They answer that they wish to enter Her pond so that their own purpose/name may become fulfilled.</w:t>
      </w:r>
    </w:p>
    <w:p>
      <w:pPr>
        <w:pStyle w:val="Heading2"/>
      </w:pPr>
      <w:r>
        <w:t>6.6 Consent and the joining of the waters</w:t>
      </w:r>
    </w:p>
    <w:p>
      <w:r>
        <w:t>Rādhā grants permission. The tīrthas then move from Kṛṣṇa’s pond, pierce the separating bank, and fill Rādhā’s lake. The joining is therefore not merely hydraulic scenery; within the narrative it follows petition and consent.</w:t>
      </w:r>
    </w:p>
    <w:p>
      <w:pPr>
        <w:pStyle w:val="Heading2"/>
      </w:pPr>
      <w:r>
        <w:t>6.7 Mutual declarations</w:t>
      </w:r>
    </w:p>
    <w:p>
      <w:r>
        <w:t>Kṛṣṇa declares Rādhā-kuṇḍa more glorious than His own pond and says that He will bathe and sport there daily, loving it as He loves Rādhā. Rādhā responds in kind, declaring Her own daily bathing with the sakhīs in Ariṣṭa-mardana-saras and blessing its devotees. The ending must preserve this reciprocity.</w:t>
      </w:r>
    </w:p>
    <w:p>
      <w:pPr>
        <w:pStyle w:val="Heading2"/>
      </w:pPr>
      <w:r>
        <w:t>6.8 Rāsa</w:t>
      </w:r>
    </w:p>
    <w:p>
      <w:r>
        <w:t>The account culminates that same night in rāsa. This last verse is important because the manifestation episode does not end as a mere tīrtha-founding legend: it immediately opens into the intimate līlā identity of the place.</w:t>
      </w:r>
    </w:p>
    <w:p>
      <w:pPr>
        <w:pStyle w:val="Heading1"/>
      </w:pPr>
      <w:r>
        <w:t>7. Rūpa Gosvāmī — Mathurā-māhātmya 418–423</w:t>
      </w:r>
    </w:p>
    <w:p>
      <w:r>
        <w:t>Rūpa does not retell the twenty-verse drama. His sequence is crucial because it independently establishes the paired tīrthas, their names, Bahulāṣṭamī/Kārttika observance, and the principle that Rādhā’s lake is dear because Rādhā Herself is uniquely dear.</w:t>
      </w:r>
    </w:p>
    <w:p>
      <w:r>
        <w:rPr>
          <w:b/>
          <w:color w:val="7B2638"/>
        </w:rPr>
        <w:t>Mathurā-māhātmya 418</w:t>
      </w:r>
    </w:p>
    <w:p>
      <w:pPr>
        <w:ind w:left="360"/>
      </w:pPr>
      <w:r>
        <w:rPr>
          <w:i/>
        </w:rPr>
        <w:t>ariṣṭa-rādhā-kuṇḍābhyāṁ / snānāt phalam avāpyate | rājasūyāśvamedhābhyāṁ / nātra kāryā vicāraṇā ||</w:t>
      </w:r>
    </w:p>
    <w:p>
      <w:pPr>
        <w:ind w:left="360"/>
      </w:pPr>
      <w:r>
        <w:t>By bathing in Ariṣṭa-kuṇḍa and Rādhā-kuṇḍa one obtains a fruit comparable to the great royal sacrifices; Rūpa attributes this verse to the Ādi-varāha.</w:t>
      </w:r>
    </w:p>
    <w:p>
      <w:r>
        <w:rPr>
          <w:b/>
          <w:color w:val="7B2638"/>
        </w:rPr>
        <w:t>Mathurā-māhātmya 420</w:t>
      </w:r>
    </w:p>
    <w:p>
      <w:pPr>
        <w:ind w:left="360"/>
      </w:pPr>
      <w:r>
        <w:rPr>
          <w:i/>
        </w:rPr>
        <w:t>govardhane girau ramye / rādhā-kuṇḍaṁ priyaṁ hareḥ | kārttike bahulāṣṭamyāṁ / tatra snātvā hareḥ priyaḥ ||</w:t>
      </w:r>
    </w:p>
    <w:p>
      <w:pPr>
        <w:ind w:left="360"/>
      </w:pPr>
      <w:r>
        <w:t>On lovely Govardhana is Rādhā-kuṇḍa, dear to Hari; bathing there on Bahulāṣṭamī in Kārttika makes one dear to Hari.</w:t>
      </w:r>
    </w:p>
    <w:p>
      <w:r>
        <w:rPr>
          <w:b/>
          <w:color w:val="7B2638"/>
        </w:rPr>
        <w:t>Mathurā-māhātmya 421</w:t>
      </w:r>
    </w:p>
    <w:p>
      <w:pPr>
        <w:ind w:left="360"/>
      </w:pPr>
      <w:r>
        <w:rPr>
          <w:i/>
        </w:rPr>
        <w:t>yathā rādhā priyā viṣṇos / tasyāḥ kuṇḍaṁ priyaṁ tathā ||</w:t>
      </w:r>
    </w:p>
    <w:p>
      <w:pPr>
        <w:ind w:left="360"/>
      </w:pPr>
      <w:r>
        <w:t>As Rādhā is dear to Viṣṇu/Kṛṣṇa, so Her kuṇḍa is dear to Him.</w:t>
      </w:r>
    </w:p>
    <w:tbl>
      <w:tblPr>
        <w:tblW w:type="auto" w:w="0"/>
        <w:jc w:val="center"/>
        <w:tblLayout w:type="autofit"/>
        <w:tblLook w:firstColumn="1" w:firstRow="1" w:lastColumn="0" w:lastRow="0" w:noHBand="0" w:noVBand="1" w:val="04A0"/>
      </w:tblPr>
      <w:tblGrid>
        <w:gridCol w:w="10166"/>
      </w:tblGrid>
      <w:tr>
        <w:tc>
          <w:tcPr>
            <w:tcW w:type="dxa" w:w="10166"/>
            <w:shd w:fill="F3EBDD"/>
          </w:tcPr>
          <w:p>
            <w:pPr>
              <w:spacing w:after="40"/>
            </w:pPr>
            <w:r>
              <w:rPr>
                <w:b/>
                <w:color w:val="7B2638"/>
              </w:rPr>
              <w:t xml:space="preserve">ATTRIBUTION RULE  </w:t>
            </w:r>
            <w:r>
              <w:t>Preserve Rūpa’s own attributions (Ādi-varāha, Padma Purāṇa/Kārttika-māhātmya, etc.) as Rūpa’s attributions. Do not silently convert them into a claim that the wording has already been verified in every extant Purāṇa recension.</w:t>
            </w:r>
          </w:p>
        </w:tc>
      </w:tr>
    </w:tbl>
    <w:p>
      <w:pPr>
        <w:pStyle w:val="Heading1"/>
      </w:pPr>
      <w:r>
        <w:t>8. Raghunātha dāsa Gosvāmī — early reception</w:t>
      </w:r>
    </w:p>
    <w:p>
      <w:r>
        <w:t>Raghunātha’s Rādhā-kuṇḍāṣṭaka supplies an especially important independent reception of the manifestation episode. Its first verse remembers Ariṣṭa’s destruction, the playful dharma exchange, Rādhā together with all Her sakhīs, and manifestation by their own hands:</w:t>
      </w:r>
    </w:p>
    <w:p>
      <w:pPr>
        <w:ind w:left="360"/>
      </w:pPr>
      <w:r>
        <w:rPr>
          <w:i/>
        </w:rPr>
        <w:t>vṛṣabha-danuja-nāśān narma-dharmokti-raṅgair / nikhila-nija-sakhībhir yat sva-hastena pūrṇam | prakaṭitam api vṛndāraṇya-rājñā pramodais / tad ati-surabhi rādhā-kuṇḍam evāśrayo me ||1||</w:t>
      </w:r>
    </w:p>
    <w:p>
      <w:r>
        <w:t>Recovered project translation: After the destruction of the bull demon, the Queen of Vṛndāvana, together with all Her own companions, joyfully manifested the complete lake with their own hands amid the delights of playful speech concerning dharma. May that exquisitely fragrant Rādhā-kuṇḍa be my shelter.</w:t>
      </w:r>
    </w:p>
    <w:p>
      <w:pPr>
        <w:spacing w:before="40" w:after="120"/>
        <w:ind w:left="360" w:right="216"/>
      </w:pPr>
      <w:r>
        <w:rPr>
          <w:b/>
          <w:color w:val="7B2638"/>
        </w:rPr>
        <w:t xml:space="preserve">SOURCE NOTE — </w:t>
      </w:r>
      <w:r>
        <w:t>This verse became the principal Gosvāmī control used in RS-02 for the phrase narma-dharmokti-raṅgaiḥ and for the caution against treating Kṛṣṇa’s dramatic ‘impurity’ as an ontological claim.</w:t>
      </w:r>
    </w:p>
    <w:p>
      <w:pPr>
        <w:pStyle w:val="Heading1"/>
      </w:pPr>
      <w:r>
        <w:t>9. Name history of the companion pond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7B2638"/>
          </w:tcPr>
          <w:p>
            <w:r>
              <w:rPr>
                <w:b/>
                <w:color w:val="FFFFFF"/>
              </w:rPr>
              <w:t>Designation</w:t>
            </w:r>
          </w:p>
        </w:tc>
        <w:tc>
          <w:tcPr>
            <w:tcW w:type="dxa" w:w="3389"/>
            <w:shd w:fill="7B2638"/>
          </w:tcPr>
          <w:p>
            <w:r>
              <w:rPr>
                <w:b/>
                <w:color w:val="FFFFFF"/>
              </w:rPr>
              <w:t>Witness/status</w:t>
            </w:r>
          </w:p>
        </w:tc>
        <w:tc>
          <w:tcPr>
            <w:tcW w:type="dxa" w:w="3389"/>
            <w:shd w:fill="7B2638"/>
          </w:tcPr>
          <w:p>
            <w:r>
              <w:rPr>
                <w:b/>
                <w:color w:val="FFFFFF"/>
              </w:rPr>
              <w:t>RS-01 ruling</w:t>
            </w:r>
          </w:p>
        </w:tc>
      </w:tr>
      <w:tr>
        <w:tc>
          <w:tcPr>
            <w:tcW w:type="dxa" w:w="3389"/>
          </w:tcPr>
          <w:p>
            <w:r>
              <w:t>Ariṣṭa-kuṇḍa</w:t>
            </w:r>
          </w:p>
        </w:tc>
        <w:tc>
          <w:tcPr>
            <w:tcW w:type="dxa" w:w="3389"/>
          </w:tcPr>
          <w:p>
            <w:r>
              <w:t>Rūpa, Mathurā-māhātmya 418; Raghunātha; early Gauḍīya usage</w:t>
            </w:r>
          </w:p>
        </w:tc>
        <w:tc>
          <w:tcPr>
            <w:tcW w:type="dxa" w:w="3389"/>
          </w:tcPr>
          <w:p>
            <w:r>
              <w:t>Secure early designation; retain when quoting early sources.</w:t>
            </w:r>
          </w:p>
        </w:tc>
      </w:tr>
      <w:tr>
        <w:tc>
          <w:tcPr>
            <w:tcW w:type="dxa" w:w="3389"/>
          </w:tcPr>
          <w:p>
            <w:r>
              <w:t>Ariṣṭa-saras / Ariṣṭa-mardana-saras</w:t>
            </w:r>
          </w:p>
        </w:tc>
        <w:tc>
          <w:tcPr>
            <w:tcW w:type="dxa" w:w="3389"/>
          </w:tcPr>
          <w:p>
            <w:r>
              <w:t>Early/Gosvāmī and twenty-verse manifestation stream</w:t>
            </w:r>
          </w:p>
        </w:tc>
        <w:tc>
          <w:tcPr>
            <w:tcW w:type="dxa" w:w="3389"/>
          </w:tcPr>
          <w:p>
            <w:r>
              <w:t>Emphasizes the Ariṣṭa episode and Kṛṣṇa as Ariṣṭa’s subduer.</w:t>
            </w:r>
          </w:p>
        </w:tc>
      </w:tr>
      <w:tr>
        <w:tc>
          <w:tcPr>
            <w:tcW w:type="dxa" w:w="3389"/>
          </w:tcPr>
          <w:p>
            <w:r>
              <w:t>Kṛṣṇa-kuṇḍa</w:t>
            </w:r>
          </w:p>
        </w:tc>
        <w:tc>
          <w:tcPr>
            <w:tcW w:type="dxa" w:w="3389"/>
          </w:tcPr>
          <w:p>
            <w:r>
              <w:t>Twenty-verse manifestation narrative</w:t>
            </w:r>
          </w:p>
        </w:tc>
        <w:tc>
          <w:tcPr>
            <w:tcW w:type="dxa" w:w="3389"/>
          </w:tcPr>
          <w:p>
            <w:r>
              <w:t>Natural narrative name during the manifestation sequence.</w:t>
            </w:r>
          </w:p>
        </w:tc>
      </w:tr>
      <w:tr>
        <w:tc>
          <w:tcPr>
            <w:tcW w:type="dxa" w:w="3389"/>
          </w:tcPr>
          <w:p>
            <w:r>
              <w:t>Śyāma-kuṇḍa</w:t>
            </w:r>
          </w:p>
        </w:tc>
        <w:tc>
          <w:tcPr>
            <w:tcW w:type="dxa" w:w="3389"/>
          </w:tcPr>
          <w:p>
            <w:r>
              <w:t>Later/common designation</w:t>
            </w:r>
          </w:p>
        </w:tc>
        <w:tc>
          <w:tcPr>
            <w:tcW w:type="dxa" w:w="3389"/>
          </w:tcPr>
          <w:p>
            <w:r>
              <w:t>Do not retroactively replace the earlier names; earliest secure normal textual occurrence remains a separate research question.</w:t>
            </w:r>
          </w:p>
        </w:tc>
      </w:tr>
    </w:tbl>
    <w:p>
      <w:pPr>
        <w:pStyle w:val="Heading1"/>
      </w:pPr>
      <w:r>
        <w:t>10. Later/local transmission witness: Ananta Dāsa Bābājī</w:t>
      </w:r>
    </w:p>
    <w:p>
      <w:r>
        <w:t>The Glory and Heritage of Sri Sri Radhakund preserves an English devotional retelling and a Romanized transcription of the twenty-verse account. It is valuable as a C-level transmission witness and as a navigation aid for reconstructing the narrative. Its Romanization/OCR is not clean enough to serve as the project’s publication-critical Sanskrit text.</w:t>
      </w:r>
    </w:p>
    <w:p>
      <w:r>
        <w:t>The recovered book passage contains the same controlled sequence: playful accusation → heel-strike/Bhogavatī → personified tīrthas → Kṛṣṇa’s bath → Rādhā and the sakhīs excavating the western hoofprint depression → refusal of Kṛṣṇa-kuṇḍa water → proposed Mānasa-gaṅgā filling → tīrthas’ petition → Rādhā’s consent → breaking of the separating bank → Kṛṣṇa’s praise and daily bathing → Rādhā’s reciprocal blessing → rāsa that night.</w:t>
      </w:r>
    </w:p>
    <w:tbl>
      <w:tblPr>
        <w:tblW w:type="auto" w:w="0"/>
        <w:jc w:val="center"/>
        <w:tblLayout w:type="autofit"/>
        <w:tblLook w:firstColumn="1" w:firstRow="1" w:lastColumn="0" w:lastRow="0" w:noHBand="0" w:noVBand="1" w:val="04A0"/>
      </w:tblPr>
      <w:tblGrid>
        <w:gridCol w:w="10166"/>
      </w:tblGrid>
      <w:tr>
        <w:tc>
          <w:tcPr>
            <w:tcW w:type="dxa" w:w="10166"/>
            <w:shd w:fill="F3EBDD"/>
          </w:tcPr>
          <w:p>
            <w:pPr>
              <w:spacing w:after="40"/>
            </w:pPr>
            <w:r>
              <w:rPr>
                <w:b/>
                <w:color w:val="7B2638"/>
              </w:rPr>
              <w:t xml:space="preserve">TEXTUAL CAUTION  </w:t>
            </w:r>
            <w:r>
              <w:t>Ananta Dāsa’s book describes the twenty verses as associated with Viśvanātha Cakravartī, but RS-01 must distinguish authorship/transmission carefully. The safe scholarly statement is that Viśvanātha preserves/quotes the twenty-verse Purāṇic unit in his Bhāgavatam commentary; the project has not established him as the composer of the Sanskrit unit.</w:t>
            </w:r>
          </w:p>
        </w:tc>
      </w:tr>
    </w:tbl>
    <w:p>
      <w:pPr>
        <w:pStyle w:val="Heading1"/>
      </w:pPr>
      <w:r>
        <w:t>11. What RS-01 does not claim</w:t>
      </w:r>
    </w:p>
    <w:p>
      <w:pPr>
        <w:ind w:left="259" w:hanging="173"/>
      </w:pPr>
      <w:r>
        <w:rPr>
          <w:b/>
        </w:rPr>
        <w:t xml:space="preserve">• </w:t>
      </w:r>
      <w:r>
        <w:t>It does not claim that Śrīmad-Bhāgavatam 10.36 itself contains the twin-kuṇḍa manifestation episode.</w:t>
      </w:r>
    </w:p>
    <w:p>
      <w:pPr>
        <w:ind w:left="259" w:hanging="173"/>
      </w:pPr>
      <w:r>
        <w:rPr>
          <w:b/>
        </w:rPr>
        <w:t xml:space="preserve">• </w:t>
      </w:r>
      <w:r>
        <w:t>It does not assign the twenty-verse unit to a specific Purāṇa/recension without independent verification.</w:t>
      </w:r>
    </w:p>
    <w:p>
      <w:pPr>
        <w:ind w:left="259" w:hanging="173"/>
      </w:pPr>
      <w:r>
        <w:rPr>
          <w:b/>
        </w:rPr>
        <w:t xml:space="preserve">• </w:t>
      </w:r>
      <w:r>
        <w:t>It does not replace Ariṣṭa-kuṇḍa/Kṛṣṇa-kuṇḍa with Śyāma-kuṇḍa when quoting early sources.</w:t>
      </w:r>
    </w:p>
    <w:p>
      <w:pPr>
        <w:ind w:left="259" w:hanging="173"/>
      </w:pPr>
      <w:r>
        <w:rPr>
          <w:b/>
        </w:rPr>
        <w:t xml:space="preserve">• </w:t>
      </w:r>
      <w:r>
        <w:t>It does not state that Rādhā and the sakhīs dug with their bangles unless a separately checked source is cited; the controlled early point is ‘with their own hands.’</w:t>
      </w:r>
    </w:p>
    <w:p>
      <w:pPr>
        <w:ind w:left="259" w:hanging="173"/>
      </w:pPr>
      <w:r>
        <w:rPr>
          <w:b/>
        </w:rPr>
        <w:t xml:space="preserve">• </w:t>
      </w:r>
      <w:r>
        <w:t>It does not equate the verse-17 separating bank or later Govinda-līlāmṛta setu with the exact modern causeway footprint.</w:t>
      </w:r>
    </w:p>
    <w:p>
      <w:pPr>
        <w:ind w:left="259" w:hanging="173"/>
      </w:pPr>
      <w:r>
        <w:rPr>
          <w:b/>
        </w:rPr>
        <w:t xml:space="preserve">• </w:t>
      </w:r>
      <w:r>
        <w:t>It does not call the opening exchange formal māna unless the technical term is actually present in the cited source; ‘playful contrariety’ is safer.</w:t>
      </w:r>
    </w:p>
    <w:p>
      <w:pPr>
        <w:ind w:left="259" w:hanging="173"/>
      </w:pPr>
      <w:r>
        <w:rPr>
          <w:b/>
        </w:rPr>
        <w:t xml:space="preserve">• </w:t>
      </w:r>
      <w:r>
        <w:t>It does not treat later devotional summaries as substitutes for the primary/Gosvāmī witnesses.</w:t>
      </w:r>
    </w:p>
    <w:p>
      <w:pPr>
        <w:pStyle w:val="Heading1"/>
      </w:pPr>
      <w:r>
        <w:t>12. Claim-control matrix for drafting the Story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7B2638"/>
          </w:tcPr>
          <w:p>
            <w:r>
              <w:rPr>
                <w:b/>
                <w:color w:val="FFFFFF"/>
              </w:rPr>
              <w:t>Claim</w:t>
            </w:r>
          </w:p>
        </w:tc>
        <w:tc>
          <w:tcPr>
            <w:tcW w:type="dxa" w:w="2541"/>
            <w:shd w:fill="7B2638"/>
          </w:tcPr>
          <w:p>
            <w:r>
              <w:rPr>
                <w:b/>
                <w:color w:val="FFFFFF"/>
              </w:rPr>
              <w:t>Status</w:t>
            </w:r>
          </w:p>
        </w:tc>
        <w:tc>
          <w:tcPr>
            <w:tcW w:type="dxa" w:w="2541"/>
            <w:shd w:fill="7B2638"/>
          </w:tcPr>
          <w:p>
            <w:r>
              <w:rPr>
                <w:b/>
                <w:color w:val="FFFFFF"/>
              </w:rPr>
              <w:t>Best controlling witness</w:t>
            </w:r>
          </w:p>
        </w:tc>
        <w:tc>
          <w:tcPr>
            <w:tcW w:type="dxa" w:w="2541"/>
            <w:shd w:fill="7B2638"/>
          </w:tcPr>
          <w:p>
            <w:r>
              <w:rPr>
                <w:b/>
                <w:color w:val="FFFFFF"/>
              </w:rPr>
              <w:t>Drafting language</w:t>
            </w:r>
          </w:p>
        </w:tc>
      </w:tr>
      <w:tr>
        <w:tc>
          <w:tcPr>
            <w:tcW w:type="dxa" w:w="2541"/>
          </w:tcPr>
          <w:p>
            <w:r>
              <w:t>Ariṣṭāsura was killed before the kuṇḍa manifestation story begins</w:t>
            </w:r>
          </w:p>
        </w:tc>
        <w:tc>
          <w:tcPr>
            <w:tcW w:type="dxa" w:w="2541"/>
          </w:tcPr>
          <w:p>
            <w:r>
              <w:t>A — secure</w:t>
            </w:r>
          </w:p>
        </w:tc>
        <w:tc>
          <w:tcPr>
            <w:tcW w:type="dxa" w:w="2541"/>
          </w:tcPr>
          <w:p>
            <w:r>
              <w:t>ŚB 10.36</w:t>
            </w:r>
          </w:p>
        </w:tc>
        <w:tc>
          <w:tcPr>
            <w:tcW w:type="dxa" w:w="2541"/>
          </w:tcPr>
          <w:p>
            <w:r>
              <w:t>“After Kṛṣṇa slew Ariṣṭāsura…”</w:t>
            </w:r>
          </w:p>
        </w:tc>
      </w:tr>
      <w:tr>
        <w:tc>
          <w:tcPr>
            <w:tcW w:type="dxa" w:w="2541"/>
          </w:tcPr>
          <w:p>
            <w:r>
              <w:t>The Bhāgavatam itself narrates Rādhā-kuṇḍa’s manifestation</w:t>
            </w:r>
          </w:p>
        </w:tc>
        <w:tc>
          <w:tcPr>
            <w:tcW w:type="dxa" w:w="2541"/>
          </w:tcPr>
          <w:p>
            <w:r>
              <w:t>NO</w:t>
            </w:r>
          </w:p>
        </w:tc>
        <w:tc>
          <w:tcPr>
            <w:tcW w:type="dxa" w:w="2541"/>
          </w:tcPr>
          <w:p>
            <w:r>
              <w:t>Negative finding from ŚB 10.36</w:t>
            </w:r>
          </w:p>
        </w:tc>
        <w:tc>
          <w:tcPr>
            <w:tcW w:type="dxa" w:w="2541"/>
          </w:tcPr>
          <w:p>
            <w:r>
              <w:t>“The Bhāgavatam gives the Ariṣṭa foundation; the fuller manifestation is preserved in later Gauḍīya transmission.”</w:t>
            </w:r>
          </w:p>
        </w:tc>
      </w:tr>
      <w:tr>
        <w:tc>
          <w:tcPr>
            <w:tcW w:type="dxa" w:w="2541"/>
          </w:tcPr>
          <w:p>
            <w:r>
              <w:t>The twenty-verse unit is preserved by Viśvanātha</w:t>
            </w:r>
          </w:p>
        </w:tc>
        <w:tc>
          <w:tcPr>
            <w:tcW w:type="dxa" w:w="2541"/>
          </w:tcPr>
          <w:p>
            <w:r>
              <w:t>A/Gosvāmī transmission — secure</w:t>
            </w:r>
          </w:p>
        </w:tc>
        <w:tc>
          <w:tcPr>
            <w:tcW w:type="dxa" w:w="2541"/>
          </w:tcPr>
          <w:p>
            <w:r>
              <w:t>Viśvanātha’s commentary with ŚB 10.36.16</w:t>
            </w:r>
          </w:p>
        </w:tc>
        <w:tc>
          <w:tcPr>
            <w:tcW w:type="dxa" w:w="2541"/>
          </w:tcPr>
          <w:p>
            <w:r>
              <w:t>“A Purāṇic account preserved by Viśvanātha Cakravartī…”</w:t>
            </w:r>
          </w:p>
        </w:tc>
      </w:tr>
      <w:tr>
        <w:tc>
          <w:tcPr>
            <w:tcW w:type="dxa" w:w="2541"/>
          </w:tcPr>
          <w:p>
            <w:r>
              <w:t>Exact Purāṇa title of the twenty verses</w:t>
            </w:r>
          </w:p>
        </w:tc>
        <w:tc>
          <w:tcPr>
            <w:tcW w:type="dxa" w:w="2541"/>
          </w:tcPr>
          <w:p>
            <w:r>
              <w:t>UNRESOLVED</w:t>
            </w:r>
          </w:p>
        </w:tc>
        <w:tc>
          <w:tcPr>
            <w:tcW w:type="dxa" w:w="2541"/>
          </w:tcPr>
          <w:p>
            <w:r>
              <w:t>No independently verified underlying recension yet</w:t>
            </w:r>
          </w:p>
        </w:tc>
        <w:tc>
          <w:tcPr>
            <w:tcW w:type="dxa" w:w="2541"/>
          </w:tcPr>
          <w:p>
            <w:r>
              <w:t>Do not name a Purāṇa.</w:t>
            </w:r>
          </w:p>
        </w:tc>
      </w:tr>
      <w:tr>
        <w:tc>
          <w:tcPr>
            <w:tcW w:type="dxa" w:w="2541"/>
          </w:tcPr>
          <w:p>
            <w:r>
              <w:t>Rādhā and sakhīs excavated with their own hands</w:t>
            </w:r>
          </w:p>
        </w:tc>
        <w:tc>
          <w:tcPr>
            <w:tcW w:type="dxa" w:w="2541"/>
          </w:tcPr>
          <w:p>
            <w:r>
              <w:t>A — strong cross-witness</w:t>
            </w:r>
          </w:p>
        </w:tc>
        <w:tc>
          <w:tcPr>
            <w:tcW w:type="dxa" w:w="2541"/>
          </w:tcPr>
          <w:p>
            <w:r>
              <w:t>Twenty-verse account; Rādhā-kuṇḍāṣṭaka 1</w:t>
            </w:r>
          </w:p>
        </w:tc>
        <w:tc>
          <w:tcPr>
            <w:tcW w:type="dxa" w:w="2541"/>
          </w:tcPr>
          <w:p>
            <w:r>
              <w:t>“Rādhā and Her companions dug/manifested the lake with their own hands.”</w:t>
            </w:r>
          </w:p>
        </w:tc>
      </w:tr>
      <w:tr>
        <w:tc>
          <w:tcPr>
            <w:tcW w:type="dxa" w:w="2541"/>
          </w:tcPr>
          <w:p>
            <w:r>
              <w:t>They dug with bangles</w:t>
            </w:r>
          </w:p>
        </w:tc>
        <w:tc>
          <w:tcPr>
            <w:tcW w:type="dxa" w:w="2541"/>
          </w:tcPr>
          <w:p>
            <w:r>
              <w:t>C / separately sourced at best</w:t>
            </w:r>
          </w:p>
        </w:tc>
        <w:tc>
          <w:tcPr>
            <w:tcW w:type="dxa" w:w="2541"/>
          </w:tcPr>
          <w:p>
            <w:r>
              <w:t>Not demonstrated in the controlled early witnesses used here</w:t>
            </w:r>
          </w:p>
        </w:tc>
        <w:tc>
          <w:tcPr>
            <w:tcW w:type="dxa" w:w="2541"/>
          </w:tcPr>
          <w:p>
            <w:r>
              <w:t>Omit from core narrative unless separately cited.</w:t>
            </w:r>
          </w:p>
        </w:tc>
      </w:tr>
      <w:tr>
        <w:tc>
          <w:tcPr>
            <w:tcW w:type="dxa" w:w="2541"/>
          </w:tcPr>
          <w:p>
            <w:r>
              <w:t>The tīrthas entered after Rādhā’s consent</w:t>
            </w:r>
          </w:p>
        </w:tc>
        <w:tc>
          <w:tcPr>
            <w:tcW w:type="dxa" w:w="2541"/>
          </w:tcPr>
          <w:p>
            <w:r>
              <w:t>A — direct in transmitted unit</w:t>
            </w:r>
          </w:p>
        </w:tc>
        <w:tc>
          <w:tcPr>
            <w:tcW w:type="dxa" w:w="2541"/>
          </w:tcPr>
          <w:p>
            <w:r>
              <w:t>Twenty-verse account</w:t>
            </w:r>
          </w:p>
        </w:tc>
        <w:tc>
          <w:tcPr>
            <w:tcW w:type="dxa" w:w="2541"/>
          </w:tcPr>
          <w:p>
            <w:r>
              <w:t>Narrate petition → permission → joining.</w:t>
            </w:r>
          </w:p>
        </w:tc>
      </w:tr>
      <w:tr>
        <w:tc>
          <w:tcPr>
            <w:tcW w:type="dxa" w:w="2541"/>
          </w:tcPr>
          <w:p>
            <w:r>
              <w:t>Rādhā-kuṇḍa is dear to Kṛṣṇa as Rādhā is dear</w:t>
            </w:r>
          </w:p>
        </w:tc>
        <w:tc>
          <w:tcPr>
            <w:tcW w:type="dxa" w:w="2541"/>
          </w:tcPr>
          <w:p>
            <w:r>
              <w:t>A — secure</w:t>
            </w:r>
          </w:p>
        </w:tc>
        <w:tc>
          <w:tcPr>
            <w:tcW w:type="dxa" w:w="2541"/>
          </w:tcPr>
          <w:p>
            <w:r>
              <w:t>MM 421; later repeated in CC</w:t>
            </w:r>
          </w:p>
        </w:tc>
        <w:tc>
          <w:tcPr>
            <w:tcW w:type="dxa" w:w="2541"/>
          </w:tcPr>
          <w:p>
            <w:r>
              <w:t>Quote/paraphrase with exact locus.</w:t>
            </w:r>
          </w:p>
        </w:tc>
      </w:tr>
      <w:tr>
        <w:tc>
          <w:tcPr>
            <w:tcW w:type="dxa" w:w="2541"/>
          </w:tcPr>
          <w:p>
            <w:r>
              <w:t>The companion pond should always be called Śyāma-kuṇḍa</w:t>
            </w:r>
          </w:p>
        </w:tc>
        <w:tc>
          <w:tcPr>
            <w:tcW w:type="dxa" w:w="2541"/>
          </w:tcPr>
          <w:p>
            <w:r>
              <w:t>NO for early-source prose</w:t>
            </w:r>
          </w:p>
        </w:tc>
        <w:tc>
          <w:tcPr>
            <w:tcW w:type="dxa" w:w="2541"/>
          </w:tcPr>
          <w:p>
            <w:r>
              <w:t>MM 418 and other early usages</w:t>
            </w:r>
          </w:p>
        </w:tc>
        <w:tc>
          <w:tcPr>
            <w:tcW w:type="dxa" w:w="2541"/>
          </w:tcPr>
          <w:p>
            <w:r>
              <w:t>Use source-specific Ariṣṭa-kuṇḍa/Kṛṣṇa-kuṇḍa; explain modern Śyāma-kuṇḍa.</w:t>
            </w:r>
          </w:p>
        </w:tc>
      </w:tr>
      <w:tr>
        <w:tc>
          <w:tcPr>
            <w:tcW w:type="dxa" w:w="2541"/>
          </w:tcPr>
          <w:p>
            <w:r>
              <w:t>The manifestation culminates in rāsa that night</w:t>
            </w:r>
          </w:p>
        </w:tc>
        <w:tc>
          <w:tcPr>
            <w:tcW w:type="dxa" w:w="2541"/>
          </w:tcPr>
          <w:p>
            <w:r>
              <w:t>A within the transmitted twenty-verse unit</w:t>
            </w:r>
          </w:p>
        </w:tc>
        <w:tc>
          <w:tcPr>
            <w:tcW w:type="dxa" w:w="2541"/>
          </w:tcPr>
          <w:p>
            <w:r>
              <w:t>Verse 20 of the unit</w:t>
            </w:r>
          </w:p>
        </w:tc>
        <w:tc>
          <w:tcPr>
            <w:tcW w:type="dxa" w:w="2541"/>
          </w:tcPr>
          <w:p>
            <w:r>
              <w:t>Include as the narrative culmination.</w:t>
            </w:r>
          </w:p>
        </w:tc>
      </w:tr>
    </w:tbl>
    <w:p>
      <w:pPr>
        <w:pStyle w:val="Heading1"/>
      </w:pPr>
      <w:r>
        <w:t>13. Relationship to RS-02 and RS-03</w:t>
      </w:r>
    </w:p>
    <w:p>
      <w:r>
        <w:t>RS-01 supplies the narrative and source-critical spine. RS-02, Theological Architecture of the Manifestation Līlā, intentionally assumes this sequence and interprets it through Raghunātha, Rūpa, Govinda-līlāmṛta, Kṛṣṇa-bhāvanāmṛta and Caitanya-caritāmṛta. RS-03 then isolates Mahāprabhu’s recognition of the obscured tīrtha in Caitanya-caritāmṛta Madhya 18.3–15.</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7B2638"/>
          </w:tcPr>
          <w:p>
            <w:r>
              <w:rPr>
                <w:b/>
                <w:color w:val="FFFFFF"/>
              </w:rPr>
              <w:t>Research unit</w:t>
            </w:r>
          </w:p>
        </w:tc>
        <w:tc>
          <w:tcPr>
            <w:tcW w:type="dxa" w:w="3389"/>
            <w:shd w:fill="7B2638"/>
          </w:tcPr>
          <w:p>
            <w:r>
              <w:rPr>
                <w:b/>
                <w:color w:val="FFFFFF"/>
              </w:rPr>
              <w:t>Primary question</w:t>
            </w:r>
          </w:p>
        </w:tc>
        <w:tc>
          <w:tcPr>
            <w:tcW w:type="dxa" w:w="3389"/>
            <w:shd w:fill="7B2638"/>
          </w:tcPr>
          <w:p>
            <w:r>
              <w:rPr>
                <w:b/>
                <w:color w:val="FFFFFF"/>
              </w:rPr>
              <w:t>Boundary</w:t>
            </w:r>
          </w:p>
        </w:tc>
      </w:tr>
      <w:tr>
        <w:tc>
          <w:tcPr>
            <w:tcW w:type="dxa" w:w="3389"/>
          </w:tcPr>
          <w:p>
            <w:r>
              <w:t>RS-01 — Manifestation Narrative</w:t>
            </w:r>
          </w:p>
        </w:tc>
        <w:tc>
          <w:tcPr>
            <w:tcW w:type="dxa" w:w="3389"/>
          </w:tcPr>
          <w:p>
            <w:r>
              <w:t>What is the narrative, source genealogy, verse order, and naming history?</w:t>
            </w:r>
          </w:p>
        </w:tc>
        <w:tc>
          <w:tcPr>
            <w:tcW w:type="dxa" w:w="3389"/>
          </w:tcPr>
          <w:p>
            <w:r>
              <w:t>Do not over-interpret.</w:t>
            </w:r>
          </w:p>
        </w:tc>
      </w:tr>
      <w:tr>
        <w:tc>
          <w:tcPr>
            <w:tcW w:type="dxa" w:w="3389"/>
          </w:tcPr>
          <w:p>
            <w:r>
              <w:t>RS-02 — Theological Architecture</w:t>
            </w:r>
          </w:p>
        </w:tc>
        <w:tc>
          <w:tcPr>
            <w:tcW w:type="dxa" w:w="3389"/>
          </w:tcPr>
          <w:p>
            <w:r>
              <w:t>What does the Gosvāmī corpus say the narrative means?</w:t>
            </w:r>
          </w:p>
        </w:tc>
        <w:tc>
          <w:tcPr>
            <w:tcW w:type="dxa" w:w="3389"/>
          </w:tcPr>
          <w:p>
            <w:r>
              <w:t>Do not alter RS-01’s source-critical boundaries.</w:t>
            </w:r>
          </w:p>
        </w:tc>
      </w:tr>
      <w:tr>
        <w:tc>
          <w:tcPr>
            <w:tcW w:type="dxa" w:w="3389"/>
          </w:tcPr>
          <w:p>
            <w:r>
              <w:t>RS-03 — Caitanya at Rādhā-kuṇḍa</w:t>
            </w:r>
          </w:p>
        </w:tc>
        <w:tc>
          <w:tcPr>
            <w:tcW w:type="dxa" w:w="3389"/>
          </w:tcPr>
          <w:p>
            <w:r>
              <w:t>How does Mahāprabhu recognize and reveal the obscured place?</w:t>
            </w:r>
          </w:p>
        </w:tc>
        <w:tc>
          <w:tcPr>
            <w:tcW w:type="dxa" w:w="3389"/>
          </w:tcPr>
          <w:p>
            <w:r>
              <w:t>Do not turn recognition into excavation.</w:t>
            </w:r>
          </w:p>
        </w:tc>
      </w:tr>
    </w:tbl>
    <w:p>
      <w:pPr>
        <w:pStyle w:val="Heading1"/>
      </w:pPr>
      <w:r>
        <w:t>14. Unresolved questions carried forward</w:t>
      </w:r>
    </w:p>
    <w:p>
      <w:pPr>
        <w:ind w:left="259" w:hanging="173"/>
      </w:pPr>
      <w:r>
        <w:rPr>
          <w:b/>
        </w:rPr>
        <w:t xml:space="preserve">• </w:t>
      </w:r>
      <w:r>
        <w:t>What is the exact Purāṇic work and recension underlying the twenty-verse unit quoted/preserved by Viśvanātha Cakravartī?</w:t>
      </w:r>
    </w:p>
    <w:p>
      <w:pPr>
        <w:ind w:left="259" w:hanging="173"/>
      </w:pPr>
      <w:r>
        <w:rPr>
          <w:b/>
        </w:rPr>
        <w:t xml:space="preserve">• </w:t>
      </w:r>
      <w:r>
        <w:t>Can a clean, publication-critical Sanskrit witness of Viśvanātha’s commentary at ŚB 10.36.16 be added to Project Sources and collated against the later printed/transcribed witnesses?</w:t>
      </w:r>
    </w:p>
    <w:p>
      <w:pPr>
        <w:ind w:left="259" w:hanging="173"/>
      </w:pPr>
      <w:r>
        <w:rPr>
          <w:b/>
        </w:rPr>
        <w:t xml:space="preserve">• </w:t>
      </w:r>
      <w:r>
        <w:t>What is the earliest securely attested normal occurrence of the name Śyāma-kuṇḍa, distinct from Ariṣṭa-kuṇḍa / Kṛṣṇa-kuṇḍa?</w:t>
      </w:r>
    </w:p>
    <w:p>
      <w:pPr>
        <w:ind w:left="259" w:hanging="173"/>
      </w:pPr>
      <w:r>
        <w:rPr>
          <w:b/>
        </w:rPr>
        <w:t xml:space="preserve">• </w:t>
      </w:r>
      <w:r>
        <w:t>Which later details in popular retellings (especially bangles as digging implements) can be traced to a named text, and at what date/source layer?</w:t>
      </w:r>
    </w:p>
    <w:p>
      <w:pPr>
        <w:ind w:left="259" w:hanging="173"/>
      </w:pPr>
      <w:r>
        <w:rPr>
          <w:b/>
        </w:rPr>
        <w:t xml:space="preserve">• </w:t>
      </w:r>
      <w:r>
        <w:t>How do Nārāyaṇa Bhaṭṭa and Narahari Cakravartī receive/localize the manifestation story without being conflated with the A-level nitya-līlā map?</w:t>
      </w:r>
    </w:p>
    <w:p>
      <w:pPr>
        <w:ind w:left="259" w:hanging="173"/>
      </w:pPr>
      <w:r>
        <w:rPr>
          <w:b/>
        </w:rPr>
        <w:t xml:space="preserve">• </w:t>
      </w:r>
      <w:r>
        <w:t>Can the verse-by-verse Sanskrit text of the twenty-verse unit be critically established from a stable printed or manuscript witness before final publication?</w:t>
      </w:r>
    </w:p>
    <w:p>
      <w:pPr>
        <w:pStyle w:val="Heading1"/>
      </w:pPr>
      <w:r>
        <w:t>15. Sources used to reconstruct this replacement</w:t>
      </w:r>
    </w:p>
    <w:p>
      <w:r>
        <w:t>This replacement is based on material demonstrably preserved in the Govardhana project rather than on a fresh invention of the lost document. The following files/records were used as reconstruction controls:</w:t>
      </w:r>
    </w:p>
    <w:p>
      <w:pPr>
        <w:ind w:left="259" w:hanging="173"/>
      </w:pPr>
      <w:r>
        <w:rPr>
          <w:b/>
        </w:rPr>
        <w:t xml:space="preserve">• </w:t>
      </w:r>
      <w:r>
        <w:t>Project-thread recoveries from 18 Aug 2026: the planned genealogy Bhāgavatam 10.36 → Purāṇic material → Rūpa → Raghunātha → Caitanya-caritāmṛta → Nārāyaṇa Bhaṭṭa/Bhakti-ratnākara; and the explicit ruling that the Bhāgavatam root text contains no kuṇḍa manifestation.</w:t>
      </w:r>
    </w:p>
    <w:p>
      <w:pPr>
        <w:ind w:left="259" w:hanging="173"/>
      </w:pPr>
      <w:r>
        <w:rPr>
          <w:b/>
        </w:rPr>
        <w:t xml:space="preserve">• </w:t>
      </w:r>
      <w:r>
        <w:t>01_Radhakunda_Research_Dossier v0.2–v0.4, especially “Textual genealogy of the manifestation,” the twenty-verse synopsis, provenance caution, and companion-kuṇḍa naming history.</w:t>
      </w:r>
    </w:p>
    <w:p>
      <w:pPr>
        <w:ind w:left="259" w:hanging="173"/>
      </w:pPr>
      <w:r>
        <w:rPr>
          <w:b/>
        </w:rPr>
        <w:t xml:space="preserve">• </w:t>
      </w:r>
      <w:r>
        <w:t>Radhakunda_RS-02_Theological_Architecture_of_the_Manifestation_Lila_v1.0, which preserves the verse-range structure 1–2 / 3–6 / 7–10 / 11–16 / 17 / 18–19 / 20 and depends on RS-01’s narrative spine.</w:t>
      </w:r>
    </w:p>
    <w:p>
      <w:pPr>
        <w:ind w:left="259" w:hanging="173"/>
      </w:pPr>
      <w:r>
        <w:rPr>
          <w:b/>
        </w:rPr>
        <w:t xml:space="preserve">• </w:t>
      </w:r>
      <w:r>
        <w:t>Rūpa Gosvāmī, Mathurā-māhātmya 418–423.</w:t>
      </w:r>
    </w:p>
    <w:p>
      <w:pPr>
        <w:ind w:left="259" w:hanging="173"/>
      </w:pPr>
      <w:r>
        <w:rPr>
          <w:b/>
        </w:rPr>
        <w:t xml:space="preserve">• </w:t>
      </w:r>
      <w:r>
        <w:t>Raghunātha dāsa Gosvāmī, Stavāvalī, especially Rādhā-kuṇḍāṣṭaka 1 and related Rādhā-kuṇḍa stotras.</w:t>
      </w:r>
    </w:p>
    <w:p>
      <w:pPr>
        <w:ind w:left="259" w:hanging="173"/>
      </w:pPr>
      <w:r>
        <w:rPr>
          <w:b/>
        </w:rPr>
        <w:t xml:space="preserve">• </w:t>
      </w:r>
      <w:r>
        <w:t>Ananta Dāsa Bābājī, The Glory and Heritage of Sri Sri Radhakund, “The appearance of the twin kundas,” used as a later transmission/navigation witness for the sequence; its OCR/Romanization is not treated as the critical Sanskrit text.</w:t>
      </w:r>
    </w:p>
    <w:tbl>
      <w:tblPr>
        <w:tblW w:type="auto" w:w="0"/>
        <w:jc w:val="center"/>
        <w:tblLayout w:type="autofit"/>
        <w:tblLook w:firstColumn="1" w:firstRow="1" w:lastColumn="0" w:lastRow="0" w:noHBand="0" w:noVBand="1" w:val="04A0"/>
      </w:tblPr>
      <w:tblGrid>
        <w:gridCol w:w="10166"/>
      </w:tblGrid>
      <w:tr>
        <w:tc>
          <w:tcPr>
            <w:tcW w:type="dxa" w:w="10166"/>
            <w:shd w:fill="F3EBDD"/>
          </w:tcPr>
          <w:p>
            <w:pPr>
              <w:spacing w:after="40"/>
            </w:pPr>
            <w:r>
              <w:rPr>
                <w:b/>
                <w:color w:val="7B2638"/>
              </w:rPr>
              <w:t xml:space="preserve">CONTINUITY RULING  </w:t>
            </w:r>
            <w:r>
              <w:t>For future project use, this reconstructed RS-01 should be treated as the recovered research-control equivalent of the lost file. Where it explicitly marks a point unresolved—especially Purāṇic provenance and critical Sanskrit wording—that uncertainty must survive into the final Rādhā-kuṇḍa Story.</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RS-01 • reconstructed research-control document • 22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RESEARCH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3A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B28B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Rādhā-kuṇḍa RS-01 — The Manifestation Narrative (Reconstructed)</dc:title>
  <dc:subject>Govardhana Pilgrimage research control document</dc:subject>
  <dc:creator>OpenAI / Govardhana Pilgrimage project reconstruction</dc:creator>
  <cp:keywords>Radhakunda, Radha-kunda, Govardhana, manifestation narrative, Visvanatha Cakravarti</cp:keywords>
  <dc:description>generated by python-docx</dc:description>
  <cp:lastModifiedBy/>
  <cp:revision>1</cp:revision>
  <dcterms:created xsi:type="dcterms:W3CDTF">2013-12-23T23:15:00Z</dcterms:created>
  <dcterms:modified xsi:type="dcterms:W3CDTF">2013-12-23T23:15:00Z</dcterms:modified>
  <cp:category/>
</cp:coreProperties>
</file>