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0"/>
        <w:jc w:val="center"/>
      </w:pPr>
      <w:r>
        <w:rPr>
          <w:b/>
          <w:sz w:val="42"/>
        </w:rPr>
        <w:t>01 — Rādhā-kuṇḍa Research Dossier</w:t>
      </w:r>
    </w:p>
    <w:p>
      <w:pPr>
        <w:spacing w:after="50"/>
        <w:jc w:val="center"/>
      </w:pPr>
      <w:r>
        <w:rPr>
          <w:i/>
          <w:sz w:val="21"/>
        </w:rPr>
        <w:t>Caitanya/Gosvāmī Historical Consolidation Checkpoint • v0.4 • 18 Aug 2026</w:t>
      </w:r>
    </w:p>
    <w:p>
      <w:pPr>
        <w:spacing w:after="50"/>
      </w:pPr>
    </w:p>
    <w:p>
      <w:pPr>
        <w:spacing w:after="50"/>
      </w:pPr>
      <w:r>
        <w:t>Status. Living master dossier, not final guidebook prose. v0.4 is additive: it retains the complete textual-foundation, sacred-geography, aṣṭa-kālīya and People-of-the-Landscape consolidations of v0.3 and now absorbs the controlling conclusions of RK-04 v0.3 — Mahāprabhu, Raghunātha dāsa, Jīva, Kṛṣṇadāsa Kavirāja, Jāhnavā, Śrīnivāsa and Narottama, together with the restoration/property/documentary questions. Detailed evidence remains in RK-02 v0.2, RK-03 v0.3 and RK-04 v0.3.</w:t>
      </w:r>
    </w:p>
    <w:p>
      <w:pPr>
        <w:pStyle w:val="Heading1"/>
        <w:keepNext/>
        <w:spacing w:after="50" w:before="140"/>
      </w:pPr>
      <w:r>
        <w:t>1. Documentation rule for this dossier</w:t>
      </w:r>
    </w:p>
    <w:p>
      <w:pPr>
        <w:pStyle w:val="ListBullet"/>
        <w:spacing w:after="50"/>
      </w:pPr>
      <w:r>
        <w:t>Every meaningful finding is entered before the research moves too far beyond it.</w:t>
      </w:r>
    </w:p>
    <w:p>
      <w:pPr>
        <w:pStyle w:val="ListBullet"/>
        <w:spacing w:after="50"/>
      </w:pPr>
      <w:r>
        <w:t>Primary/Gosvāmī evidence, early Vraja pilgrimage tradition, later/local tradition, and historical/documentary evidence remain visibly distinct.</w:t>
      </w:r>
    </w:p>
    <w:p>
      <w:pPr>
        <w:pStyle w:val="ListBullet"/>
        <w:spacing w:after="50"/>
      </w:pPr>
      <w:r>
        <w:t>A later physical site is never silently equated with an eternal-līlā location merely because the names correspond.</w:t>
      </w:r>
    </w:p>
    <w:p>
      <w:pPr>
        <w:pStyle w:val="ListBullet"/>
        <w:spacing w:after="50"/>
      </w:pPr>
      <w:r>
        <w:t>Searchable electronic texts are used for discovery; important quotations are checked against printed scans/editions wherever possible.</w:t>
      </w:r>
    </w:p>
    <w:p>
      <w:pPr>
        <w:pStyle w:val="ListBullet"/>
        <w:spacing w:after="50"/>
      </w:pPr>
      <w:r>
        <w:t>Unresolved provenance, variant readings, uncertain modern localization, and apparent contradictions are retained rather than smoothed away.</w:t>
      </w:r>
    </w:p>
    <w:p>
      <w:pPr>
        <w:pStyle w:val="Heading1"/>
        <w:keepNext/>
        <w:spacing w:after="50" w:before="140"/>
      </w:pPr>
      <w:r>
        <w:t>2. Current research state</w:t>
      </w:r>
    </w:p>
    <w:p>
      <w:pPr>
        <w:spacing w:after="50"/>
      </w:pPr>
      <w:r>
        <w:t>Research completed to this checkpoint: (1) Ariṣṭāsura as the Śrīmad-Bhāgavatam foundation; (2) the fuller manifestation narrative preserved in Gauḍīya commentarial tradition, with precise Purāṇic provenance still open; (3) Rūpa Gosvāmī’s Mathurā-māhātmya tīrtha sequence; (4) Raghunātha dāsa’s theology of Rādhā-kuṇḍa; (5) Govinda-līlāmṛta Sarga 7 sacred architecture, aṣṭa-sakhī mandala, Anaṅga Mañjarī center and Śyāma/Ariṣṭa-kuṇḍa sakhā system; (6) early-pilgrimage micro-geography; (7) a verse-level Govinda-līlāmṛta × Kṛṣṇa-bhāvanāmṛta madhyāhna route; (8) the full Rādhā-kuṇḍa social/service ecology; and now (9) Mahāprabhu’s reidentification of the lupta tīrtha; (10) Raghunātha’s residence and Bhakti-ratnākara restoration/kuṭīra memory; (11) the Raghunātha→Jīva property-document tradition and its unresolved legal/date problems; (12) Jīva’s Vṛndāvana-based institutional connection to the kuṇḍa community; (13) Kṛṣṇadāsa Kavirāja’s dependence on Raghunātha and role in the Rādhā-kuṇḍa literary community; (14) Jāhnavā’s multi-day pilgrimage/serving visit; and (15) Śrīnivāsa–Narottama’s text-guided micro-parikramā. Detailed evidence is retained in RK-02 v0.2, RK-03 v0.3 and RK-04 v0.3.</w:t>
      </w:r>
    </w:p>
    <w:p>
      <w:pPr>
        <w:pStyle w:val="Heading1"/>
        <w:keepNext/>
        <w:spacing w:after="50" w:before="140"/>
      </w:pPr>
      <w:r>
        <w:t>3. Source hierarchy used here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E8E8E8"/>
          </w:tcPr>
          <w:p>
            <w:r>
              <w:t>Layer</w:t>
            </w:r>
          </w:p>
        </w:tc>
        <w:tc>
          <w:tcPr>
            <w:tcW w:type="dxa" w:w="3389"/>
            <w:shd w:fill="E8E8E8"/>
          </w:tcPr>
          <w:p>
            <w:r>
              <w:t>Meaning</w:t>
            </w:r>
          </w:p>
        </w:tc>
        <w:tc>
          <w:tcPr>
            <w:tcW w:type="dxa" w:w="3389"/>
            <w:shd w:fill="E8E8E8"/>
          </w:tcPr>
          <w:p>
            <w:r>
              <w:t>Examples in this dossier</w:t>
            </w:r>
          </w:p>
        </w:tc>
      </w:tr>
      <w:tr>
        <w:trPr>
          <w:cantSplit/>
        </w:trPr>
        <w:tc>
          <w:tcPr>
            <w:tcW w:type="dxa" w:w="3389"/>
            <w:vAlign w:val="top"/>
          </w:tcPr>
          <w:p>
            <w:r>
              <w:t>A — Primary / Gosvāmī</w:t>
            </w:r>
          </w:p>
        </w:tc>
        <w:tc>
          <w:tcPr>
            <w:tcW w:type="dxa" w:w="3389"/>
            <w:vAlign w:val="top"/>
          </w:tcPr>
          <w:p>
            <w:r>
              <w:t>Scripture, verified Purāṇic material, Caitanya/Gosvāmī works</w:t>
            </w:r>
          </w:p>
        </w:tc>
        <w:tc>
          <w:tcPr>
            <w:tcW w:type="dxa" w:w="3389"/>
            <w:vAlign w:val="top"/>
          </w:tcPr>
          <w:p>
            <w:r>
              <w:t>ŚB 10.36; Mathurā-māhātmya; Stavāvalī; Govinda-līlāmṛta</w:t>
            </w:r>
          </w:p>
        </w:tc>
      </w:tr>
      <w:tr>
        <w:trPr>
          <w:cantSplit/>
        </w:trPr>
        <w:tc>
          <w:tcPr>
            <w:tcW w:type="dxa" w:w="3389"/>
            <w:vAlign w:val="top"/>
          </w:tcPr>
          <w:p>
            <w:r>
              <w:t>B — Early Vraja pilgrimage tradition</w:t>
            </w:r>
          </w:p>
        </w:tc>
        <w:tc>
          <w:tcPr>
            <w:tcW w:type="dxa" w:w="3389"/>
            <w:vAlign w:val="top"/>
          </w:tcPr>
          <w:p>
            <w:r>
              <w:t>Early localization and parikramā tradition</w:t>
            </w:r>
          </w:p>
        </w:tc>
        <w:tc>
          <w:tcPr>
            <w:tcW w:type="dxa" w:w="3389"/>
            <w:vAlign w:val="top"/>
          </w:tcPr>
          <w:p>
            <w:r>
              <w:t>Vraja-bhakti-vilāsa; Bhakti-ratnākara</w:t>
            </w:r>
          </w:p>
        </w:tc>
      </w:tr>
      <w:tr>
        <w:trPr>
          <w:cantSplit/>
        </w:trPr>
        <w:tc>
          <w:tcPr>
            <w:tcW w:type="dxa" w:w="3389"/>
            <w:vAlign w:val="top"/>
          </w:tcPr>
          <w:p>
            <w:r>
              <w:t>C — Later/local tradition</w:t>
            </w:r>
          </w:p>
        </w:tc>
        <w:tc>
          <w:tcPr>
            <w:tcW w:type="dxa" w:w="3389"/>
            <w:vAlign w:val="top"/>
          </w:tcPr>
          <w:p>
            <w:r>
              <w:t>Later Gauḍīya/local memory, temples, ghāṭ names and practical tradition</w:t>
            </w:r>
          </w:p>
        </w:tc>
        <w:tc>
          <w:tcPr>
            <w:tcW w:type="dxa" w:w="3389"/>
            <w:vAlign w:val="top"/>
          </w:tcPr>
          <w:p>
            <w:r>
              <w:t>Ananta Dāsa Bābājī; modern parikramā guides</w:t>
            </w:r>
          </w:p>
        </w:tc>
      </w:tr>
      <w:tr>
        <w:trPr>
          <w:cantSplit/>
        </w:trPr>
        <w:tc>
          <w:tcPr>
            <w:tcW w:type="dxa" w:w="3389"/>
            <w:vAlign w:val="top"/>
          </w:tcPr>
          <w:p>
            <w:r>
              <w:t>D — Historical/documentary</w:t>
            </w:r>
          </w:p>
        </w:tc>
        <w:tc>
          <w:tcPr>
            <w:tcW w:type="dxa" w:w="3389"/>
            <w:vAlign w:val="top"/>
          </w:tcPr>
          <w:p>
            <w:r>
              <w:t>Maps, deeds, inscriptions, colonial/historical scholarship</w:t>
            </w:r>
          </w:p>
        </w:tc>
        <w:tc>
          <w:tcPr>
            <w:tcW w:type="dxa" w:w="3389"/>
            <w:vAlign w:val="top"/>
          </w:tcPr>
          <w:p>
            <w:r>
              <w:t>Entwistle; Growse; deeds/farmāns when verified</w:t>
            </w:r>
          </w:p>
        </w:tc>
      </w:tr>
    </w:tbl>
    <w:p>
      <w:pPr>
        <w:pStyle w:val="Heading1"/>
        <w:keepNext/>
        <w:spacing w:after="50" w:before="140"/>
      </w:pPr>
      <w:r>
        <w:t>4. Textual genealogy of the manifestation</w:t>
      </w:r>
    </w:p>
    <w:p>
      <w:pPr>
        <w:pStyle w:val="Heading2"/>
        <w:keepNext/>
        <w:spacing w:after="50" w:before="140"/>
      </w:pPr>
      <w:r>
        <w:t>4.1 Śrīmad-Bhāgavatam 10.36 — the foundation</w:t>
      </w:r>
    </w:p>
    <w:p>
      <w:pPr>
        <w:spacing w:after="50"/>
      </w:pPr>
      <w:r>
        <w:t>The Bhāgavatam root text narrates Ariṣṭāsura’s attack in bull form, Kṛṣṇa’s killing of him, and Kṛṣṇa’s return to the goṣṭha. It does not, in the root verses themselves, narrate Rādhā’s accusation, the summoning of the tīrthas, or the manifestation of the two kuṇḍas. This negative finding is important and must remain explicit.</w:t>
      </w:r>
    </w:p>
    <w:p>
      <w:pPr>
        <w:pStyle w:val="Heading2"/>
        <w:keepNext/>
        <w:spacing w:after="50" w:before="140"/>
      </w:pPr>
      <w:r>
        <w:t>4.2 Fuller manifestation narrative — provenance caution</w:t>
      </w:r>
    </w:p>
    <w:p>
      <w:pPr>
        <w:spacing w:after="50"/>
      </w:pPr>
      <w:r>
        <w:t>The full sequence familiar in Gauḍīya tradition is preserved in Viśvanātha Cakravartī’s commentary in connection with ŚB 10.36.16 as a twenty-verse Purāṇic account. Core elements include: the gopīs’ playful charge of bull-killing; Kṛṣṇa’s heel-strike; the summoning of all tīrthas; manifestation of Kṛṣṇa-kuṇḍa; Rādhā and the sakhīs excavating Her own kuṇḍa by hand in the depression made by Ariṣṭa’s hooves; Rādhā’s refusal to fill it from Kṛṣṇa’s water; Her intention to bring Mānasa-gaṅgā water; the tīrthas begging entrance into Her kuṇḍa; the waters breaking through the separating bank; Kṛṣṇa’s declaration of the superior glory of Rādhā-kuṇḍa; and rāsa there that night.</w:t>
      </w:r>
    </w:p>
    <w:p>
      <w:pPr>
        <w:spacing w:after="50"/>
      </w:pPr>
      <w:r>
        <w:t>Research caution: the exact Purāṇic work/recension containing the full twenty-verse unit has not yet been independently established. Until verified, the dossier cites it as a Purāṇic account preserved by Viśvanātha rather than assigning a specific Purāṇa title.</w:t>
      </w:r>
    </w:p>
    <w:p>
      <w:pPr>
        <w:pStyle w:val="Heading2"/>
        <w:keepNext/>
        <w:spacing w:after="50" w:before="140"/>
      </w:pPr>
      <w:r>
        <w:t>4.3 Name history of the companion kuṇḍa</w:t>
      </w:r>
    </w:p>
    <w:p>
      <w:pPr>
        <w:spacing w:after="50"/>
      </w:pPr>
      <w:r>
        <w:t>A major textual finding is that early Gauḍīya literature repeatedly uses Ariṣṭa-kuṇḍa / Ariṣṭa-saras / Kṛṣṇa-kuṇḍa terminology for the lake now commonly called Śyāma-kuṇḍa. The history of the title Śyāma-kuṇḍa itself must therefore be researched rather than retroactively substituted into every older source.</w:t>
      </w:r>
    </w:p>
    <w:tbl>
      <w:tblPr>
        <w:tblStyle w:val="TableGrid"/>
        <w:tblW w:type="auto" w:w="0"/>
        <w:tblLook w:firstColumn="1" w:firstRow="1" w:lastColumn="0" w:lastRow="0" w:noHBand="0" w:noVBand="1" w:val="04A0"/>
      </w:tblPr>
      <w:tblGrid>
        <w:gridCol w:w="3389"/>
        <w:gridCol w:w="3389"/>
        <w:gridCol w:w="3389"/>
      </w:tblGrid>
      <w:tr>
        <w:trPr>
          <w:tblHeader w:val="true"/>
          <w:cantSplit/>
        </w:trPr>
        <w:tc>
          <w:tcPr>
            <w:tcW w:type="dxa" w:w="3389"/>
            <w:shd w:fill="E8E8E8"/>
          </w:tcPr>
          <w:p>
            <w:r>
              <w:t>Designation</w:t>
            </w:r>
          </w:p>
        </w:tc>
        <w:tc>
          <w:tcPr>
            <w:tcW w:type="dxa" w:w="3389"/>
            <w:shd w:fill="E8E8E8"/>
          </w:tcPr>
          <w:p>
            <w:r>
              <w:t>Witness currently established</w:t>
            </w:r>
          </w:p>
        </w:tc>
        <w:tc>
          <w:tcPr>
            <w:tcW w:type="dxa" w:w="3389"/>
            <w:shd w:fill="E8E8E8"/>
          </w:tcPr>
          <w:p>
            <w:r>
              <w:t>Research note</w:t>
            </w:r>
          </w:p>
        </w:tc>
      </w:tr>
      <w:tr>
        <w:trPr>
          <w:cantSplit/>
        </w:trPr>
        <w:tc>
          <w:tcPr>
            <w:tcW w:type="dxa" w:w="3389"/>
          </w:tcPr>
          <w:p>
            <w:r>
              <w:t>Ariṣṭa-kuṇḍa</w:t>
            </w:r>
          </w:p>
        </w:tc>
        <w:tc>
          <w:tcPr>
            <w:tcW w:type="dxa" w:w="3389"/>
          </w:tcPr>
          <w:p>
            <w:r>
              <w:t>Rūpa, Mathurā-māhātmya 418; Raghunātha; Govinda-līlāmṛta tradition</w:t>
            </w:r>
          </w:p>
        </w:tc>
        <w:tc>
          <w:tcPr>
            <w:tcW w:type="dxa" w:w="3389"/>
          </w:tcPr>
          <w:p>
            <w:r>
              <w:t>Clearly normal early Gauḍīya usage.</w:t>
            </w:r>
          </w:p>
        </w:tc>
      </w:tr>
      <w:tr>
        <w:trPr>
          <w:cantSplit/>
        </w:trPr>
        <w:tc>
          <w:tcPr>
            <w:tcW w:type="dxa" w:w="3389"/>
          </w:tcPr>
          <w:p>
            <w:r>
              <w:t>Ariṣṭa-mardana-saras</w:t>
            </w:r>
          </w:p>
        </w:tc>
        <w:tc>
          <w:tcPr>
            <w:tcW w:type="dxa" w:w="3389"/>
          </w:tcPr>
          <w:p>
            <w:r>
              <w:t>Twenty-verse manifestation account</w:t>
            </w:r>
          </w:p>
        </w:tc>
        <w:tc>
          <w:tcPr>
            <w:tcW w:type="dxa" w:w="3389"/>
          </w:tcPr>
          <w:p>
            <w:r>
              <w:t>Emphasizes Ariṣṭa’s destruction.</w:t>
            </w:r>
          </w:p>
        </w:tc>
      </w:tr>
      <w:tr>
        <w:trPr>
          <w:cantSplit/>
        </w:trPr>
        <w:tc>
          <w:tcPr>
            <w:tcW w:type="dxa" w:w="3389"/>
          </w:tcPr>
          <w:p>
            <w:r>
              <w:t>Kṛṣṇa-kuṇḍa</w:t>
            </w:r>
          </w:p>
        </w:tc>
        <w:tc>
          <w:tcPr>
            <w:tcW w:type="dxa" w:w="3389"/>
          </w:tcPr>
          <w:p>
            <w:r>
              <w:t>Twenty-verse manifestation account</w:t>
            </w:r>
          </w:p>
        </w:tc>
        <w:tc>
          <w:tcPr>
            <w:tcW w:type="dxa" w:w="3389"/>
          </w:tcPr>
          <w:p>
            <w:r>
              <w:t>Used during the manifestation narrative.</w:t>
            </w:r>
          </w:p>
        </w:tc>
      </w:tr>
      <w:tr>
        <w:trPr>
          <w:cantSplit/>
        </w:trPr>
        <w:tc>
          <w:tcPr>
            <w:tcW w:type="dxa" w:w="3389"/>
          </w:tcPr>
          <w:p>
            <w:r>
              <w:t>Śyāma-kuṇḍa</w:t>
            </w:r>
          </w:p>
        </w:tc>
        <w:tc>
          <w:tcPr>
            <w:tcW w:type="dxa" w:w="3389"/>
          </w:tcPr>
          <w:p>
            <w:r>
              <w:t>Later/common designation</w:t>
            </w:r>
          </w:p>
        </w:tc>
        <w:tc>
          <w:tcPr>
            <w:tcW w:type="dxa" w:w="3389"/>
          </w:tcPr>
          <w:p>
            <w:r>
              <w:t>Earliest secure occurrence still to be established.</w:t>
            </w:r>
          </w:p>
        </w:tc>
      </w:tr>
    </w:tbl>
    <w:p>
      <w:pPr>
        <w:pStyle w:val="Heading1"/>
        <w:keepNext/>
        <w:spacing w:after="50" w:before="140"/>
      </w:pPr>
      <w:r>
        <w:t>5. Rūpa Gosvāmī — Mathurā-māhātmya 418–423</w:t>
      </w:r>
    </w:p>
    <w:p>
      <w:pPr>
        <w:spacing w:after="50"/>
      </w:pPr>
      <w:r>
        <w:t>This sequence does not retell the full manifestation līlā. It establishes the paired tīrthas, Kārttika/Bahulāṣṭamī observance, and the theological principle that Rādhā’s kuṇḍa is dear because Rādhā Herself is uniquely dear.</w:t>
      </w:r>
    </w:p>
    <w:p>
      <w:pPr>
        <w:spacing w:after="50"/>
        <w:ind w:left="360" w:right="288"/>
      </w:pPr>
      <w:r>
        <w:rPr>
          <w:i/>
        </w:rPr>
        <w:t>ariṣṭa-rādhā-kuṇḍābhyāṁ / snānāt phalam avāpyate | rājasūyāśvamedhābhyāṁ / nātra kāryā vicāraṇā ||</w:t>
      </w:r>
    </w:p>
    <w:p>
      <w:pPr>
        <w:spacing w:after="50"/>
        <w:ind w:left="360"/>
      </w:pPr>
      <w:r>
        <w:rPr>
          <w:b/>
          <w:sz w:val="18"/>
        </w:rPr>
        <w:t>Rūpa Gosvāmī, Mathurā-māhātmya 418; attributed there to the Ādi-varāha.</w:t>
      </w:r>
    </w:p>
    <w:p>
      <w:pPr>
        <w:spacing w:after="50"/>
        <w:ind w:left="360" w:right="288"/>
      </w:pPr>
      <w:r>
        <w:rPr>
          <w:i/>
        </w:rPr>
        <w:t>govardhane girau ramye / rādhā-kuṇḍaṁ priyaṁ hareḥ | kārttike bahulāṣṭamyāṁ / tatra snātvā hareḥ priyaḥ ||</w:t>
      </w:r>
    </w:p>
    <w:p>
      <w:pPr>
        <w:spacing w:after="50"/>
        <w:ind w:left="360"/>
      </w:pPr>
      <w:r>
        <w:rPr>
          <w:b/>
          <w:sz w:val="18"/>
        </w:rPr>
        <w:t>Mathurā-māhātmya 420; attributed there to Padma Purāṇa, Kārttika-māhātmya.</w:t>
      </w:r>
    </w:p>
    <w:p>
      <w:pPr>
        <w:spacing w:after="50"/>
        <w:ind w:left="360" w:right="288"/>
      </w:pPr>
      <w:r>
        <w:rPr>
          <w:i/>
        </w:rPr>
        <w:t>yathā rādhā priyā viṣṇos / tasyāḥ kuṇḍaṁ priyaṁ tathā ||</w:t>
      </w:r>
    </w:p>
    <w:p>
      <w:pPr>
        <w:spacing w:after="50"/>
        <w:ind w:left="360"/>
      </w:pPr>
      <w:r>
        <w:rPr>
          <w:b/>
          <w:sz w:val="18"/>
        </w:rPr>
        <w:t>Mathurā-māhātmya 421.</w:t>
      </w:r>
    </w:p>
    <w:p>
      <w:pPr>
        <w:spacing w:after="50"/>
      </w:pPr>
      <w:r>
        <w:t>Source-critical note: Rūpa’s explicit Purāṇic attributions are preserved as his attributions. The underlying extant Purāṇa recensions still require independent verification before wording claims as 'the Padma Purāṇa says' without qualification.</w:t>
      </w:r>
    </w:p>
    <w:p>
      <w:pPr>
        <w:pStyle w:val="Heading1"/>
        <w:keepNext/>
        <w:spacing w:after="50" w:before="140"/>
      </w:pPr>
      <w:r>
        <w:t>6. Raghunātha dāsa Gosvāmī — the kuṇḍa as lived līlā-landscape</w:t>
      </w:r>
    </w:p>
    <w:p>
      <w:pPr>
        <w:spacing w:after="50"/>
      </w:pPr>
      <w:r>
        <w:t>Raghunātha’s texts move beyond tīrtha merit into the inner devotional identity of the place: Rādhā and the sakhīs manifest the kuṇḍa with their own hands; the bank contains named kuñjas apportioned among Her associates; Rādhā converses with prāṇa-sakhīs there; and the Divine Couple sport there every day (anudinam). His Vraja-vilāsa-stava also singles out the middle region where the banks of the two beloved kuṇḍas meet.</w:t>
      </w:r>
    </w:p>
    <w:p>
      <w:pPr>
        <w:spacing w:after="50"/>
        <w:ind w:left="360" w:right="288"/>
      </w:pPr>
      <w:r>
        <w:rPr>
          <w:i/>
        </w:rPr>
        <w:t>taṭa-madhura-nikuñjaḥ kḷpta-nāmāna uccair / nija-parijana-vargaiḥ saṁvibhajyāśritas taiḥ ...</w:t>
      </w:r>
    </w:p>
    <w:p>
      <w:pPr>
        <w:spacing w:after="50"/>
        <w:ind w:left="360"/>
      </w:pPr>
      <w:r>
        <w:rPr>
          <w:b/>
          <w:sz w:val="18"/>
        </w:rPr>
        <w:t>Raghunātha dāsa Gosvāmī, Rādhā-kuṇḍāṣṭaka 6.</w:t>
      </w:r>
    </w:p>
    <w:p>
      <w:pPr>
        <w:spacing w:after="50"/>
        <w:ind w:left="360" w:right="288"/>
      </w:pPr>
      <w:r>
        <w:rPr>
          <w:i/>
        </w:rPr>
        <w:t>tat-priya-kuṇḍayos taṭa-milan-madhya-pradeśaṁ ... rādhā-mādhavayoḥ priya-sthalam ...</w:t>
      </w:r>
    </w:p>
    <w:p>
      <w:pPr>
        <w:spacing w:after="50"/>
        <w:ind w:left="360"/>
      </w:pPr>
      <w:r>
        <w:rPr>
          <w:b/>
          <w:sz w:val="18"/>
        </w:rPr>
        <w:t>Raghunātha dāsa Gosvāmī, Vraja-vilāsa-stava 52.</w:t>
      </w:r>
    </w:p>
    <w:p>
      <w:pPr>
        <w:spacing w:after="50"/>
      </w:pPr>
      <w:r>
        <w:t>Interpretive result: the conceptual existence of named kuñjas and a special twin-kuṇḍa meeting region is A-level Gosvāmī evidence. The precise equation with present masonry structures remains a separate historical/localization question.</w:t>
      </w:r>
    </w:p>
    <w:p>
      <w:pPr>
        <w:pStyle w:val="Heading1"/>
        <w:keepNext/>
        <w:spacing w:after="50" w:before="140"/>
      </w:pPr>
      <w:r>
        <w:t>7. Govinda-līlāmṛta Sarga 7 — outer architecture</w:t>
      </w:r>
    </w:p>
    <w:p>
      <w:pPr>
        <w:spacing w:after="50"/>
        <w:ind w:left="360" w:right="288"/>
      </w:pPr>
      <w:r>
        <w:rPr>
          <w:i/>
        </w:rPr>
        <w:t>kiyad-dūraṁ tato gatvā nivṛtyodvartmanā hariḥ | rādhā-kuṇḍaṁ samāyātaḥ priyā-saṅgotsukaḥ priyam ||7.1||</w:t>
      </w:r>
    </w:p>
    <w:p>
      <w:pPr>
        <w:spacing w:after="50"/>
        <w:ind w:left="360"/>
      </w:pPr>
      <w:r>
        <w:rPr>
          <w:b/>
          <w:sz w:val="18"/>
        </w:rPr>
        <w:t>Kṛṣṇadāsa Kavirāja, Govinda-līlāmṛta 7.1.</w:t>
      </w:r>
    </w:p>
    <w:p>
      <w:pPr>
        <w:spacing w:after="50"/>
      </w:pPr>
      <w:r>
        <w:t>Sarga 7 begins in motion: Kṛṣṇa turns by another path and comes to Rādhā-kuṇḍa eager to meet His beloved. Verses 2–3 describe rows of jeweled steps and four cardinal tīrthas/bathing approaches with pavilions and paved platforms. The text says tīrtha, not 'modern ghāṭ'; the dossier therefore avoids collapsing the nitya-līlā structure into later masonry ghāṭs.</w:t>
      </w:r>
    </w:p>
    <w:p>
      <w:pPr>
        <w:spacing w:after="50"/>
        <w:ind w:left="360" w:right="288"/>
      </w:pPr>
      <w:r>
        <w:rPr>
          <w:i/>
        </w:rPr>
        <w:t>pūrvāgneya-diśor madhye priya-kuṇḍena saṅgatam | tatrordhve stambhakālambi-citra-setu-samanvitam ||7.6||</w:t>
      </w:r>
    </w:p>
    <w:p>
      <w:pPr>
        <w:spacing w:after="50"/>
        <w:ind w:left="360"/>
      </w:pPr>
      <w:r>
        <w:rPr>
          <w:b/>
          <w:sz w:val="18"/>
        </w:rPr>
        <w:t>Govinda-līlāmṛta 7.6.</w:t>
      </w:r>
    </w:p>
    <w:p>
      <w:pPr>
        <w:spacing w:after="50"/>
      </w:pPr>
      <w:r>
        <w:t>Verse 7.6 is a major map anchor: Rādhā-kuṇḍa joins the beloved companion kuṇḍa between its east and south-east sectors, and a bridge (setu) stands above that junction. The textual saṅgama is therefore A-level. Whether the present causeway occupies the exact same footprint is a D/C historical-localization question.</w:t>
      </w:r>
    </w:p>
    <w:p>
      <w:pPr>
        <w:spacing w:after="50"/>
      </w:pPr>
      <w:r>
        <w:t>Verses 4–5 describe four jeweled swings tied to directional trees: south—campaka; east—nīpa; west—mango; north—bakula.</w:t>
      </w:r>
    </w:p>
    <w:p>
      <w:pPr>
        <w:spacing w:after="50"/>
      </w:pPr>
      <w:r>
        <w:t>Verses 7–18 describe the surrounding pleasure-garden/service infrastructure: trees, jeweled pavements, seasonal areas, gardens, paths, pavilions, beds, seats, swings, refreshments, betel, water-sprinklers and service stores. Verse 7.13 explicitly places forest goddesses and hundreds of kuñja-dāsīs in the environment preparing articles of service.</w:t>
      </w:r>
    </w:p>
    <w:p>
      <w:pPr>
        <w:pStyle w:val="Heading1"/>
        <w:keepNext/>
        <w:spacing w:after="50" w:before="140"/>
      </w:pPr>
      <w:r>
        <w:t>8. Definitive aṣṭa-sakhī mandala around Rādhā-kuṇḍa</w:t>
      </w:r>
    </w:p>
    <w:p>
      <w:pPr>
        <w:spacing w:after="50"/>
      </w:pPr>
      <w:r>
        <w:t>Govinda-līlāmṛta 7.27 states the governing principle: on the bank shine kuñjas in the eight directions, belonging to Rādhā’s most beloved sakhīs and known by their respective names. This is direct A-level textual geography. Modern property boundaries or shrines claiming these names still require separate localization history.</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E8E8E8"/>
          </w:tcPr>
          <w:p>
            <w:r>
              <w:t>Direction</w:t>
            </w:r>
          </w:p>
        </w:tc>
        <w:tc>
          <w:tcPr>
            <w:tcW w:type="dxa" w:w="2033"/>
            <w:shd w:fill="E8E8E8"/>
          </w:tcPr>
          <w:p>
            <w:r>
              <w:t>Sakhī</w:t>
            </w:r>
          </w:p>
        </w:tc>
        <w:tc>
          <w:tcPr>
            <w:tcW w:type="dxa" w:w="2033"/>
            <w:shd w:fill="E8E8E8"/>
          </w:tcPr>
          <w:p>
            <w:r>
              <w:t>Textual kuñja / identity</w:t>
            </w:r>
          </w:p>
        </w:tc>
        <w:tc>
          <w:tcPr>
            <w:tcW w:type="dxa" w:w="2033"/>
            <w:shd w:fill="E8E8E8"/>
          </w:tcPr>
          <w:p>
            <w:r>
              <w:t>Verses</w:t>
            </w:r>
          </w:p>
        </w:tc>
        <w:tc>
          <w:tcPr>
            <w:tcW w:type="dxa" w:w="2033"/>
            <w:shd w:fill="E8E8E8"/>
          </w:tcPr>
          <w:p>
            <w:r>
              <w:t>Key feature</w:t>
            </w:r>
          </w:p>
        </w:tc>
      </w:tr>
      <w:tr>
        <w:trPr>
          <w:cantSplit/>
        </w:trPr>
        <w:tc>
          <w:tcPr>
            <w:tcW w:type="dxa" w:w="2033"/>
            <w:vAlign w:val="top"/>
          </w:tcPr>
          <w:p>
            <w:r>
              <w:t>North</w:t>
            </w:r>
          </w:p>
        </w:tc>
        <w:tc>
          <w:tcPr>
            <w:tcW w:type="dxa" w:w="2033"/>
            <w:vAlign w:val="top"/>
          </w:tcPr>
          <w:p>
            <w:r>
              <w:t>Lalitā</w:t>
            </w:r>
          </w:p>
        </w:tc>
        <w:tc>
          <w:tcPr>
            <w:tcW w:type="dxa" w:w="2033"/>
            <w:vAlign w:val="top"/>
          </w:tcPr>
          <w:p>
            <w:r>
              <w:t>Lalitānandada / Anaṅga-raṅgāmbuja complex</w:t>
            </w:r>
          </w:p>
        </w:tc>
        <w:tc>
          <w:tcPr>
            <w:tcW w:type="dxa" w:w="2033"/>
            <w:vAlign w:val="top"/>
          </w:tcPr>
          <w:p>
            <w:r>
              <w:t>7.31–72</w:t>
            </w:r>
          </w:p>
        </w:tc>
        <w:tc>
          <w:tcPr>
            <w:tcW w:type="dxa" w:w="2033"/>
            <w:vAlign w:val="top"/>
          </w:tcPr>
          <w:p>
            <w:r>
              <w:t>Large internal sub-map; swing, lotus and palace areas.</w:t>
            </w:r>
          </w:p>
        </w:tc>
      </w:tr>
      <w:tr>
        <w:trPr>
          <w:cantSplit/>
        </w:trPr>
        <w:tc>
          <w:tcPr>
            <w:tcW w:type="dxa" w:w="2033"/>
            <w:vAlign w:val="top"/>
          </w:tcPr>
          <w:p>
            <w:r>
              <w:t>North-east</w:t>
            </w:r>
          </w:p>
        </w:tc>
        <w:tc>
          <w:tcPr>
            <w:tcW w:type="dxa" w:w="2033"/>
            <w:vAlign w:val="top"/>
          </w:tcPr>
          <w:p>
            <w:r>
              <w:t>Viśākhā</w:t>
            </w:r>
          </w:p>
        </w:tc>
        <w:tc>
          <w:tcPr>
            <w:tcW w:type="dxa" w:w="2033"/>
            <w:vAlign w:val="top"/>
          </w:tcPr>
          <w:p>
            <w:r>
              <w:t>Madana-sukhada / Viśākhānandada</w:t>
            </w:r>
          </w:p>
        </w:tc>
        <w:tc>
          <w:tcPr>
            <w:tcW w:type="dxa" w:w="2033"/>
            <w:vAlign w:val="top"/>
          </w:tcPr>
          <w:p>
            <w:r>
              <w:t>7.73–78</w:t>
            </w:r>
          </w:p>
        </w:tc>
        <w:tc>
          <w:tcPr>
            <w:tcW w:type="dxa" w:w="2033"/>
            <w:vAlign w:val="top"/>
          </w:tcPr>
          <w:p>
            <w:r>
              <w:t>Maintained by Mañjumukhī; later used narratively by Kṛṣṇa.</w:t>
            </w:r>
          </w:p>
        </w:tc>
      </w:tr>
      <w:tr>
        <w:trPr>
          <w:cantSplit/>
        </w:trPr>
        <w:tc>
          <w:tcPr>
            <w:tcW w:type="dxa" w:w="2033"/>
            <w:vAlign w:val="top"/>
          </w:tcPr>
          <w:p>
            <w:r>
              <w:t>East</w:t>
            </w:r>
          </w:p>
        </w:tc>
        <w:tc>
          <w:tcPr>
            <w:tcW w:type="dxa" w:w="2033"/>
            <w:vAlign w:val="top"/>
          </w:tcPr>
          <w:p>
            <w:r>
              <w:t>Citrā</w:t>
            </w:r>
          </w:p>
        </w:tc>
        <w:tc>
          <w:tcPr>
            <w:tcW w:type="dxa" w:w="2033"/>
            <w:vAlign w:val="top"/>
          </w:tcPr>
          <w:p>
            <w:r>
              <w:t>Citrānandada</w:t>
            </w:r>
          </w:p>
        </w:tc>
        <w:tc>
          <w:tcPr>
            <w:tcW w:type="dxa" w:w="2033"/>
            <w:vAlign w:val="top"/>
          </w:tcPr>
          <w:p>
            <w:r>
              <w:t>7.79–80</w:t>
            </w:r>
          </w:p>
        </w:tc>
        <w:tc>
          <w:tcPr>
            <w:tcW w:type="dxa" w:w="2033"/>
            <w:vAlign w:val="top"/>
          </w:tcPr>
          <w:p>
            <w:r>
              <w:t>Citra/variegated aesthetic.</w:t>
            </w:r>
          </w:p>
        </w:tc>
      </w:tr>
      <w:tr>
        <w:trPr>
          <w:cantSplit/>
        </w:trPr>
        <w:tc>
          <w:tcPr>
            <w:tcW w:type="dxa" w:w="2033"/>
            <w:vAlign w:val="top"/>
          </w:tcPr>
          <w:p>
            <w:r>
              <w:t>South-east</w:t>
            </w:r>
          </w:p>
        </w:tc>
        <w:tc>
          <w:tcPr>
            <w:tcW w:type="dxa" w:w="2033"/>
            <w:vAlign w:val="top"/>
          </w:tcPr>
          <w:p>
            <w:r>
              <w:t>Indulekhā</w:t>
            </w:r>
          </w:p>
        </w:tc>
        <w:tc>
          <w:tcPr>
            <w:tcW w:type="dxa" w:w="2033"/>
            <w:vAlign w:val="top"/>
          </w:tcPr>
          <w:p>
            <w:r>
              <w:t>Pūrṇendu-kuñja</w:t>
            </w:r>
          </w:p>
        </w:tc>
        <w:tc>
          <w:tcPr>
            <w:tcW w:type="dxa" w:w="2033"/>
            <w:vAlign w:val="top"/>
          </w:tcPr>
          <w:p>
            <w:r>
              <w:t>7.81–84</w:t>
            </w:r>
          </w:p>
        </w:tc>
        <w:tc>
          <w:tcPr>
            <w:tcW w:type="dxa" w:w="2033"/>
            <w:vAlign w:val="top"/>
          </w:tcPr>
          <w:p>
            <w:r>
              <w:t>White/crystal/moonstone/full-moon concealment.</w:t>
            </w:r>
          </w:p>
        </w:tc>
      </w:tr>
      <w:tr>
        <w:trPr>
          <w:cantSplit/>
        </w:trPr>
        <w:tc>
          <w:tcPr>
            <w:tcW w:type="dxa" w:w="2033"/>
            <w:vAlign w:val="top"/>
          </w:tcPr>
          <w:p>
            <w:r>
              <w:t>South</w:t>
            </w:r>
          </w:p>
        </w:tc>
        <w:tc>
          <w:tcPr>
            <w:tcW w:type="dxa" w:w="2033"/>
            <w:vAlign w:val="top"/>
          </w:tcPr>
          <w:p>
            <w:r>
              <w:t>Campakalatā</w:t>
            </w:r>
          </w:p>
        </w:tc>
        <w:tc>
          <w:tcPr>
            <w:tcW w:type="dxa" w:w="2033"/>
            <w:vAlign w:val="top"/>
          </w:tcPr>
          <w:p>
            <w:r>
              <w:t>Campakalatānandada / golden kuñja</w:t>
            </w:r>
          </w:p>
        </w:tc>
        <w:tc>
          <w:tcPr>
            <w:tcW w:type="dxa" w:w="2033"/>
            <w:vAlign w:val="top"/>
          </w:tcPr>
          <w:p>
            <w:r>
              <w:t>7.85–92</w:t>
            </w:r>
          </w:p>
        </w:tc>
        <w:tc>
          <w:tcPr>
            <w:tcW w:type="dxa" w:w="2033"/>
            <w:vAlign w:val="top"/>
          </w:tcPr>
          <w:p>
            <w:r>
              <w:t>Golden environment; kuñja kitchen and dining service.</w:t>
            </w:r>
          </w:p>
        </w:tc>
      </w:tr>
      <w:tr>
        <w:trPr>
          <w:cantSplit/>
        </w:trPr>
        <w:tc>
          <w:tcPr>
            <w:tcW w:type="dxa" w:w="2033"/>
            <w:vAlign w:val="top"/>
          </w:tcPr>
          <w:p>
            <w:r>
              <w:t>South-west</w:t>
            </w:r>
          </w:p>
        </w:tc>
        <w:tc>
          <w:tcPr>
            <w:tcW w:type="dxa" w:w="2033"/>
            <w:vAlign w:val="top"/>
          </w:tcPr>
          <w:p>
            <w:r>
              <w:t>Raṅgadevī</w:t>
            </w:r>
          </w:p>
        </w:tc>
        <w:tc>
          <w:tcPr>
            <w:tcW w:type="dxa" w:w="2033"/>
            <w:vAlign w:val="top"/>
          </w:tcPr>
          <w:p>
            <w:r>
              <w:t>Śyāma-kuñja</w:t>
            </w:r>
          </w:p>
        </w:tc>
        <w:tc>
          <w:tcPr>
            <w:tcW w:type="dxa" w:w="2033"/>
            <w:vAlign w:val="top"/>
          </w:tcPr>
          <w:p>
            <w:r>
              <w:t>7.93–95</w:t>
            </w:r>
          </w:p>
        </w:tc>
        <w:tc>
          <w:tcPr>
            <w:tcW w:type="dxa" w:w="2033"/>
            <w:vAlign w:val="top"/>
          </w:tcPr>
          <w:p>
            <w:r>
              <w:t>Dark sapphire/tamāla concealment.</w:t>
            </w:r>
          </w:p>
        </w:tc>
      </w:tr>
      <w:tr>
        <w:trPr>
          <w:cantSplit/>
        </w:trPr>
        <w:tc>
          <w:tcPr>
            <w:tcW w:type="dxa" w:w="2033"/>
            <w:vAlign w:val="top"/>
          </w:tcPr>
          <w:p>
            <w:r>
              <w:t>West</w:t>
            </w:r>
          </w:p>
        </w:tc>
        <w:tc>
          <w:tcPr>
            <w:tcW w:type="dxa" w:w="2033"/>
            <w:vAlign w:val="top"/>
          </w:tcPr>
          <w:p>
            <w:r>
              <w:t>Tuṅgavidyā</w:t>
            </w:r>
          </w:p>
        </w:tc>
        <w:tc>
          <w:tcPr>
            <w:tcW w:type="dxa" w:w="2033"/>
            <w:vAlign w:val="top"/>
          </w:tcPr>
          <w:p>
            <w:r>
              <w:t>Aruṇa-kuñja</w:t>
            </w:r>
          </w:p>
        </w:tc>
        <w:tc>
          <w:tcPr>
            <w:tcW w:type="dxa" w:w="2033"/>
            <w:vAlign w:val="top"/>
          </w:tcPr>
          <w:p>
            <w:r>
              <w:t>7.96–97</w:t>
            </w:r>
          </w:p>
        </w:tc>
        <w:tc>
          <w:tcPr>
            <w:tcW w:type="dxa" w:w="2033"/>
            <w:vAlign w:val="top"/>
          </w:tcPr>
          <w:p>
            <w:r>
              <w:t>Red/ruby environment.</w:t>
            </w:r>
          </w:p>
        </w:tc>
      </w:tr>
      <w:tr>
        <w:trPr>
          <w:cantSplit/>
        </w:trPr>
        <w:tc>
          <w:tcPr>
            <w:tcW w:type="dxa" w:w="2033"/>
            <w:vAlign w:val="top"/>
          </w:tcPr>
          <w:p>
            <w:r>
              <w:t>North-west</w:t>
            </w:r>
          </w:p>
        </w:tc>
        <w:tc>
          <w:tcPr>
            <w:tcW w:type="dxa" w:w="2033"/>
            <w:vAlign w:val="top"/>
          </w:tcPr>
          <w:p>
            <w:r>
              <w:t>Sudevī</w:t>
            </w:r>
          </w:p>
        </w:tc>
        <w:tc>
          <w:tcPr>
            <w:tcW w:type="dxa" w:w="2033"/>
            <w:vAlign w:val="top"/>
          </w:tcPr>
          <w:p>
            <w:r>
              <w:t>Harit-kuñja / Sudevī-sukhada</w:t>
            </w:r>
          </w:p>
        </w:tc>
        <w:tc>
          <w:tcPr>
            <w:tcW w:type="dxa" w:w="2033"/>
            <w:vAlign w:val="top"/>
          </w:tcPr>
          <w:p>
            <w:r>
              <w:t>7.98–99</w:t>
            </w:r>
          </w:p>
        </w:tc>
        <w:tc>
          <w:tcPr>
            <w:tcW w:type="dxa" w:w="2033"/>
            <w:vAlign w:val="top"/>
          </w:tcPr>
          <w:p>
            <w:r>
              <w:t>Green environment; dice play.</w:t>
            </w:r>
          </w:p>
        </w:tc>
      </w:tr>
      <w:tr>
        <w:trPr>
          <w:cantSplit/>
        </w:trPr>
        <w:tc>
          <w:tcPr>
            <w:tcW w:type="dxa" w:w="2033"/>
            <w:vAlign w:val="top"/>
          </w:tcPr>
          <w:p>
            <w:r>
              <w:t>Center</w:t>
            </w:r>
          </w:p>
        </w:tc>
        <w:tc>
          <w:tcPr>
            <w:tcW w:type="dxa" w:w="2033"/>
            <w:vAlign w:val="top"/>
          </w:tcPr>
          <w:p>
            <w:r>
              <w:t>Anaṅga-mañjarī</w:t>
            </w:r>
          </w:p>
        </w:tc>
        <w:tc>
          <w:tcPr>
            <w:tcW w:type="dxa" w:w="2033"/>
            <w:vAlign w:val="top"/>
          </w:tcPr>
          <w:p>
            <w:r>
              <w:t>Salila-kamala-sadma</w:t>
            </w:r>
          </w:p>
        </w:tc>
        <w:tc>
          <w:tcPr>
            <w:tcW w:type="dxa" w:w="2033"/>
            <w:vAlign w:val="top"/>
          </w:tcPr>
          <w:p>
            <w:r>
              <w:t>7.100–101</w:t>
            </w:r>
          </w:p>
        </w:tc>
        <w:tc>
          <w:tcPr>
            <w:tcW w:type="dxa" w:w="2033"/>
            <w:vAlign w:val="top"/>
          </w:tcPr>
          <w:p>
            <w:r>
              <w:t>Sixteen-petalled lotus dwelling in the water; bridge on north side.</w:t>
            </w:r>
          </w:p>
        </w:tc>
      </w:tr>
    </w:tbl>
    <w:p>
      <w:pPr>
        <w:pStyle w:val="Heading1"/>
        <w:keepNext/>
        <w:spacing w:after="50" w:before="140"/>
      </w:pPr>
      <w:r>
        <w:t>9. Lalitā’s northern complex — internal sub-geography</w:t>
      </w:r>
    </w:p>
    <w:p>
      <w:pPr>
        <w:spacing w:after="50"/>
      </w:pPr>
      <w:r>
        <w:t>Lalitā’s sector is disproportionately elaborate and should eventually receive its own inset map. The current verse-level reconstruction includes: Anaṅga-raṅgāmbuja near the northern tīrtha; Lalitānandada as the principal/royal kuñja; Vasanta-sukhada in the north-west; Padma-mandira in the south-west; Hindola-kuṭṭima/Madanāndolana in the south-east; Mādhavānandada in the north-east; and four further directional lotus kuñjas—Sitāmbuja (north), Asitāmbuja (east), Aruṇāmbuja (south), Hemāmbuja (west).</w:t>
      </w:r>
    </w:p>
    <w:p>
      <w:pPr>
        <w:spacing w:after="50"/>
      </w:pPr>
      <w:r>
        <w:t>At Hindola-kuṭṭima, Govinda-līlāmṛta 7.63 places Rādhā and Kṛṣṇa in the center of an eight-petalled arrangement while the companions sing and Vṛndā swings Them. This is a model example of the guidebook method: location + participants + action + service role.</w:t>
      </w:r>
    </w:p>
    <w:p>
      <w:pPr>
        <w:pStyle w:val="Heading1"/>
        <w:keepNext/>
        <w:spacing w:after="50" w:before="140"/>
      </w:pPr>
      <w:r>
        <w:t>10. Śyāma/Ariṣṭa-kuṇḍa — priya-narma-sakhā kuñja system</w:t>
      </w:r>
    </w:p>
    <w:p>
      <w:pPr>
        <w:spacing w:after="50"/>
      </w:pPr>
      <w:r>
        <w:t>Govinda-līlāmṛta 7.111–117 turns from the Rādhā-kuṇḍa aṣṭa-sakhī system to kuñjas of Kṛṣṇa’s intimate priya-narma-sakhās, naming figures such as Subala, Madhumaṅgala, Ujjvala, Arjuna, Gandharva, Vidagdha, Bhṛṅga and Kokila. These kuñjas are subsequently associated with Rādhā, Lalitā and the other sakhīs. This confirms that the two mandalas are related but should not be conflated.</w:t>
      </w:r>
    </w:p>
    <w:p>
      <w:pPr>
        <w:spacing w:after="50"/>
      </w:pPr>
      <w:r>
        <w:t>Particularly important: Subala’s kuñja is associated with the Mānasa-pāvana bathing place; Madhumaṅgala’s northern kuñja is accepted by Lalitā; Ujjvala’s north-eastern kuñja is accepted by Viśākhā; the remaining directional pattern proceeds correspondingly.</w:t>
      </w:r>
    </w:p>
    <w:p>
      <w:pPr>
        <w:pStyle w:val="Heading1"/>
        <w:keepNext/>
        <w:spacing w:after="50" w:before="140"/>
      </w:pPr>
      <w:r>
        <w:t>11. Early pilgrimage corroboration — Bhakti-ratnākara Taraṅga 5</w:t>
      </w:r>
    </w:p>
    <w:p>
      <w:pPr>
        <w:spacing w:after="50"/>
        <w:ind w:left="360" w:right="288"/>
      </w:pPr>
      <w:r>
        <w:rPr>
          <w:i/>
        </w:rPr>
        <w:t>subalera kuñja śyāma-kuṇḍera uttare | tathā ghāṭa mānasa-pāvana śobhā kare ||599||</w:t>
        <w:br/>
        <w:t>mānasa-pāvana rādhikāra priya ati | tathā vṛkṣarūpe pañcapāṇḍarera sthiti ||600||</w:t>
      </w:r>
    </w:p>
    <w:p>
      <w:pPr>
        <w:spacing w:after="50"/>
        <w:ind w:left="360"/>
      </w:pPr>
      <w:r>
        <w:rPr>
          <w:b/>
          <w:sz w:val="18"/>
        </w:rPr>
        <w:t>Narahari Cakravartī, Bhakti-ratnākara 5.599–600.</w:t>
      </w:r>
    </w:p>
    <w:p>
      <w:pPr>
        <w:spacing w:after="50"/>
      </w:pPr>
      <w:r>
        <w:t>Result: Mānasa-pāvana Ghāṭ is securely B-level early pilgrimage geography, explicitly located at Subala’s kuñja north of Śyāma-kuṇḍa. The same passage gives B-level attestation for the five Pāṇḍava trees at the site. Śrīnivāsa and Narottama bathe there in the next verse.</w:t>
      </w:r>
    </w:p>
    <w:p>
      <w:pPr>
        <w:spacing w:after="50"/>
        <w:ind w:left="360" w:right="288"/>
      </w:pPr>
      <w:r>
        <w:rPr>
          <w:i/>
        </w:rPr>
        <w:t>ei ‘mālyahāri’ kuṇḍa ahe śrīnivāsa | muktāmālā-chale ethā adbhuta vilāsa ||585||</w:t>
        <w:br/>
        <w:t>śrīmuktā-caritra-granthe esaba vicāri | varṇila śrīraghunāthadāsa kṛpā kari ||586||</w:t>
      </w:r>
    </w:p>
    <w:p>
      <w:pPr>
        <w:spacing w:after="50"/>
        <w:ind w:left="360"/>
      </w:pPr>
      <w:r>
        <w:rPr>
          <w:b/>
          <w:sz w:val="18"/>
        </w:rPr>
        <w:t>Bhakti-ratnākara 5.585–586.</w:t>
      </w:r>
    </w:p>
    <w:p>
      <w:pPr>
        <w:spacing w:after="50"/>
      </w:pPr>
      <w:r>
        <w:t>Result: Mālyahāri-kuṇḍa is explicitly localized in early pilgrimage tradition and Narahari sends the reader back to Raghunātha dāsa’s Muktā-caritra for the pearl pastime. This creates an A-to-B literary/localization trail.</w:t>
      </w:r>
    </w:p>
    <w:p>
      <w:pPr>
        <w:spacing w:after="50"/>
        <w:ind w:left="360" w:right="288"/>
      </w:pPr>
      <w:r>
        <w:rPr>
          <w:i/>
        </w:rPr>
        <w:t>ei ‘śivakhora’ ‘bhānukhora’ kuṇḍadvaya ... ||587||</w:t>
      </w:r>
    </w:p>
    <w:p>
      <w:pPr>
        <w:spacing w:after="50"/>
        <w:ind w:left="360"/>
      </w:pPr>
      <w:r>
        <w:rPr>
          <w:b/>
          <w:sz w:val="18"/>
        </w:rPr>
        <w:t>Bhakti-ratnākara 5.587.</w:t>
      </w:r>
    </w:p>
    <w:p>
      <w:pPr>
        <w:spacing w:after="50"/>
      </w:pPr>
      <w:r>
        <w:t>Result: Śivakhora and Bhānukhora are not merely modern guidebook names; both are B-level named sites in Bhakti-ratnākara.</w:t>
      </w:r>
    </w:p>
    <w:p>
      <w:pPr>
        <w:pStyle w:val="Heading1"/>
        <w:keepNext/>
        <w:spacing w:after="50" w:before="140"/>
      </w:pPr>
      <w:r>
        <w:t>12. Corrections to the v0.1 sacred-site inventory</w:t>
      </w:r>
    </w:p>
    <w:tbl>
      <w:tblPr>
        <w:tblStyle w:val="TableGrid"/>
        <w:tblW w:type="auto" w:w="0"/>
        <w:tblLook w:firstColumn="1" w:firstRow="1" w:lastColumn="0" w:lastRow="0" w:noHBand="0" w:noVBand="1" w:val="04A0"/>
      </w:tblPr>
      <w:tblGrid>
        <w:gridCol w:w="2541"/>
        <w:gridCol w:w="2541"/>
        <w:gridCol w:w="2541"/>
        <w:gridCol w:w="2541"/>
      </w:tblGrid>
      <w:tr>
        <w:trPr>
          <w:tblHeader w:val="true"/>
          <w:cantSplit/>
        </w:trPr>
        <w:tc>
          <w:tcPr>
            <w:tcW w:type="dxa" w:w="2541"/>
            <w:shd w:fill="E8E8E8"/>
          </w:tcPr>
          <w:p>
            <w:r>
              <w:t>Site ID</w:t>
            </w:r>
          </w:p>
        </w:tc>
        <w:tc>
          <w:tcPr>
            <w:tcW w:type="dxa" w:w="2541"/>
            <w:shd w:fill="E8E8E8"/>
          </w:tcPr>
          <w:p>
            <w:r>
              <w:t>v0.1 status</w:t>
            </w:r>
          </w:p>
        </w:tc>
        <w:tc>
          <w:tcPr>
            <w:tcW w:type="dxa" w:w="2541"/>
            <w:shd w:fill="E8E8E8"/>
          </w:tcPr>
          <w:p>
            <w:r>
              <w:t>v0.2 correction</w:t>
            </w:r>
          </w:p>
        </w:tc>
        <w:tc>
          <w:tcPr>
            <w:tcW w:type="dxa" w:w="2541"/>
            <w:shd w:fill="E8E8E8"/>
          </w:tcPr>
          <w:p>
            <w:r>
              <w:t>Reason</w:t>
            </w:r>
          </w:p>
        </w:tc>
      </w:tr>
      <w:tr>
        <w:trPr>
          <w:cantSplit/>
        </w:trPr>
        <w:tc>
          <w:tcPr>
            <w:tcW w:type="dxa" w:w="2541"/>
            <w:vAlign w:val="top"/>
          </w:tcPr>
          <w:p>
            <w:r>
              <w:t>RK-03 Saṅgama</w:t>
            </w:r>
          </w:p>
        </w:tc>
        <w:tc>
          <w:tcPr>
            <w:tcW w:type="dxa" w:w="2541"/>
            <w:vAlign w:val="top"/>
          </w:tcPr>
          <w:p>
            <w:r>
              <w:t>A/C/D</w:t>
            </w:r>
          </w:p>
        </w:tc>
        <w:tc>
          <w:tcPr>
            <w:tcW w:type="dxa" w:w="2541"/>
            <w:vAlign w:val="top"/>
          </w:tcPr>
          <w:p>
            <w:r>
              <w:t>A + C/D localization question</w:t>
            </w:r>
          </w:p>
        </w:tc>
        <w:tc>
          <w:tcPr>
            <w:tcW w:type="dxa" w:w="2541"/>
            <w:vAlign w:val="top"/>
          </w:tcPr>
          <w:p>
            <w:r>
              <w:t>Govinda-līlāmṛta 7.6 explicitly gives junction + bridge.</w:t>
            </w:r>
          </w:p>
        </w:tc>
      </w:tr>
      <w:tr>
        <w:trPr>
          <w:cantSplit/>
        </w:trPr>
        <w:tc>
          <w:tcPr>
            <w:tcW w:type="dxa" w:w="2541"/>
            <w:vAlign w:val="top"/>
          </w:tcPr>
          <w:p>
            <w:r>
              <w:t>RK-08 Bhānukhora</w:t>
            </w:r>
          </w:p>
        </w:tc>
        <w:tc>
          <w:tcPr>
            <w:tcW w:type="dxa" w:w="2541"/>
            <w:vAlign w:val="top"/>
          </w:tcPr>
          <w:p>
            <w:r>
              <w:t>B/C tentative</w:t>
            </w:r>
          </w:p>
        </w:tc>
        <w:tc>
          <w:tcPr>
            <w:tcW w:type="dxa" w:w="2541"/>
            <w:vAlign w:val="top"/>
          </w:tcPr>
          <w:p>
            <w:r>
              <w:t>B</w:t>
            </w:r>
          </w:p>
        </w:tc>
        <w:tc>
          <w:tcPr>
            <w:tcW w:type="dxa" w:w="2541"/>
            <w:vAlign w:val="top"/>
          </w:tcPr>
          <w:p>
            <w:r>
              <w:t>Bhakti-ratnākara 5.587 explicitly names it.</w:t>
            </w:r>
          </w:p>
        </w:tc>
      </w:tr>
      <w:tr>
        <w:trPr>
          <w:cantSplit/>
        </w:trPr>
        <w:tc>
          <w:tcPr>
            <w:tcW w:type="dxa" w:w="2541"/>
            <w:vAlign w:val="top"/>
          </w:tcPr>
          <w:p>
            <w:r>
              <w:t>RK-09 Śivakhora</w:t>
            </w:r>
          </w:p>
        </w:tc>
        <w:tc>
          <w:tcPr>
            <w:tcW w:type="dxa" w:w="2541"/>
            <w:vAlign w:val="top"/>
          </w:tcPr>
          <w:p>
            <w:r>
              <w:t>B/C tentative</w:t>
            </w:r>
          </w:p>
        </w:tc>
        <w:tc>
          <w:tcPr>
            <w:tcW w:type="dxa" w:w="2541"/>
            <w:vAlign w:val="top"/>
          </w:tcPr>
          <w:p>
            <w:r>
              <w:t>B</w:t>
            </w:r>
          </w:p>
        </w:tc>
        <w:tc>
          <w:tcPr>
            <w:tcW w:type="dxa" w:w="2541"/>
            <w:vAlign w:val="top"/>
          </w:tcPr>
          <w:p>
            <w:r>
              <w:t>Bhakti-ratnākara 5.587 explicitly names it.</w:t>
            </w:r>
          </w:p>
        </w:tc>
      </w:tr>
      <w:tr>
        <w:trPr>
          <w:cantSplit/>
        </w:trPr>
        <w:tc>
          <w:tcPr>
            <w:tcW w:type="dxa" w:w="2541"/>
            <w:vAlign w:val="top"/>
          </w:tcPr>
          <w:p>
            <w:r>
              <w:t>RK-10 Aṣṭa-sakhī kuñjas</w:t>
            </w:r>
          </w:p>
        </w:tc>
        <w:tc>
          <w:tcPr>
            <w:tcW w:type="dxa" w:w="2541"/>
            <w:vAlign w:val="top"/>
          </w:tcPr>
          <w:p>
            <w:r>
              <w:t>A/C</w:t>
            </w:r>
          </w:p>
        </w:tc>
        <w:tc>
          <w:tcPr>
            <w:tcW w:type="dxa" w:w="2541"/>
            <w:vAlign w:val="top"/>
          </w:tcPr>
          <w:p>
            <w:r>
              <w:t>A for the eight-direction textual system; C/D for exact modern plots</w:t>
            </w:r>
          </w:p>
        </w:tc>
        <w:tc>
          <w:tcPr>
            <w:tcW w:type="dxa" w:w="2541"/>
            <w:vAlign w:val="top"/>
          </w:tcPr>
          <w:p>
            <w:r>
              <w:t>Govinda-līlāmṛta 7.27–101 gives complete mandala.</w:t>
            </w:r>
          </w:p>
        </w:tc>
      </w:tr>
      <w:tr>
        <w:trPr>
          <w:cantSplit/>
        </w:trPr>
        <w:tc>
          <w:tcPr>
            <w:tcW w:type="dxa" w:w="2541"/>
            <w:vAlign w:val="top"/>
          </w:tcPr>
          <w:p>
            <w:r>
              <w:t>RK-11 Sakhā-kuñjas around Śyāma-kuṇḍa</w:t>
            </w:r>
          </w:p>
        </w:tc>
        <w:tc>
          <w:tcPr>
            <w:tcW w:type="dxa" w:w="2541"/>
            <w:vAlign w:val="top"/>
          </w:tcPr>
          <w:p>
            <w:r>
              <w:t>C / text to verify</w:t>
            </w:r>
          </w:p>
        </w:tc>
        <w:tc>
          <w:tcPr>
            <w:tcW w:type="dxa" w:w="2541"/>
            <w:vAlign w:val="top"/>
          </w:tcPr>
          <w:p>
            <w:r>
              <w:t>A/B</w:t>
            </w:r>
          </w:p>
        </w:tc>
        <w:tc>
          <w:tcPr>
            <w:tcW w:type="dxa" w:w="2541"/>
            <w:vAlign w:val="top"/>
          </w:tcPr>
          <w:p>
            <w:r>
              <w:t>Govinda-līlāmṛta 7.111–117 + Bhakti-ratnākara localizes Subala/Mānasa-pāvana.</w:t>
            </w:r>
          </w:p>
        </w:tc>
      </w:tr>
      <w:tr>
        <w:trPr>
          <w:cantSplit/>
        </w:trPr>
        <w:tc>
          <w:tcPr>
            <w:tcW w:type="dxa" w:w="2541"/>
            <w:vAlign w:val="top"/>
          </w:tcPr>
          <w:p>
            <w:r>
              <w:t>RK-13 Five Pāṇḍava trees</w:t>
            </w:r>
          </w:p>
        </w:tc>
        <w:tc>
          <w:tcPr>
            <w:tcW w:type="dxa" w:w="2541"/>
            <w:vAlign w:val="top"/>
          </w:tcPr>
          <w:p>
            <w:r>
              <w:t>C</w:t>
            </w:r>
          </w:p>
        </w:tc>
        <w:tc>
          <w:tcPr>
            <w:tcW w:type="dxa" w:w="2541"/>
            <w:vAlign w:val="top"/>
          </w:tcPr>
          <w:p>
            <w:r>
              <w:t>B</w:t>
            </w:r>
          </w:p>
        </w:tc>
        <w:tc>
          <w:tcPr>
            <w:tcW w:type="dxa" w:w="2541"/>
            <w:vAlign w:val="top"/>
          </w:tcPr>
          <w:p>
            <w:r>
              <w:t>Bhakti-ratnākara 5.600.</w:t>
            </w:r>
          </w:p>
        </w:tc>
      </w:tr>
      <w:tr>
        <w:trPr>
          <w:cantSplit/>
        </w:trPr>
        <w:tc>
          <w:tcPr>
            <w:tcW w:type="dxa" w:w="2541"/>
            <w:vAlign w:val="top"/>
          </w:tcPr>
          <w:p>
            <w:r>
              <w:t>Mānasa-pāvana Ghāṭ (ghāṭ list)</w:t>
            </w:r>
          </w:p>
        </w:tc>
        <w:tc>
          <w:tcPr>
            <w:tcW w:type="dxa" w:w="2541"/>
            <w:vAlign w:val="top"/>
          </w:tcPr>
          <w:p>
            <w:r>
              <w:t>later-list only</w:t>
            </w:r>
          </w:p>
        </w:tc>
        <w:tc>
          <w:tcPr>
            <w:tcW w:type="dxa" w:w="2541"/>
            <w:vAlign w:val="top"/>
          </w:tcPr>
          <w:p>
            <w:r>
              <w:t>B, with earlier textual background</w:t>
            </w:r>
          </w:p>
        </w:tc>
        <w:tc>
          <w:tcPr>
            <w:tcW w:type="dxa" w:w="2541"/>
            <w:vAlign w:val="top"/>
          </w:tcPr>
          <w:p>
            <w:r>
              <w:t>Bhakti-ratnākara 5.599–601.</w:t>
            </w:r>
          </w:p>
        </w:tc>
      </w:tr>
    </w:tbl>
    <w:p>
      <w:pPr>
        <w:pStyle w:val="Heading1"/>
        <w:keepNext/>
        <w:spacing w:after="50" w:before="140"/>
      </w:pPr>
      <w:r>
        <w:t>13. Aṣṭa-kālīya route — milestone completed</w:t>
      </w:r>
    </w:p>
    <w:p>
      <w:pPr>
        <w:spacing w:after="50"/>
      </w:pPr>
      <w:r>
        <w:t>The route comparison is now complete enough for the project milestone. Govinda-līlāmṛta 5.40 explicitly appoints Rādhā’s own kuṇḍa as the rendezvous, to be reached chadmanā, “by a pretext.” The two texts then show separate public-social routes converging at Rādhā-kuṇḍa: Rādhā through the Sūrya-pūjā framework and Kṛṣṇa through the cowherding world with Madhumaṅgala, including Pramoda/Pramodana-vana. Kṛṣṇa-bhāvanāmṛta 10.4–5 organizes the six seasons around the kuṇḍa; 11.8 and 11.45–49 give Varṣā-harṣa and the lotus swing; 14.9–17 and 14.48–52 return explicitly to the twin-kuṇḍa complex for water-play and post-play service; 15.1–8 gives the dice assembly. Govinda-līlāmṛta 18.25 explicitly localizes a dice game in Sudevī-sukhada, while 18.92–96 and 19.1 close madhyāhna with Rādhā’s homeward departure and Kṛṣṇa’s return to His cowherd sakhās before aparāhna. The two works should not be forced into a single verse-for-verse chronology; they describe the same eternal midday world with differing narrative expansions. See RK-02 v0.2 for the full route ledger.</w:t>
      </w:r>
    </w:p>
    <w:p>
      <w:pPr>
        <w:pStyle w:val="Heading1"/>
        <w:keepNext/>
        <w:spacing w:after="50" w:before="140"/>
      </w:pPr>
      <w:r>
        <w:t>14. Three overlapping maps to preserve</w:t>
      </w:r>
    </w:p>
    <w:tbl>
      <w:tblPr>
        <w:tblStyle w:val="TableGrid"/>
        <w:tblW w:type="auto" w:w="0"/>
        <w:tblLook w:firstColumn="1" w:firstRow="1" w:lastColumn="0" w:lastRow="0" w:noHBand="0" w:noVBand="1" w:val="04A0"/>
      </w:tblPr>
      <w:tblGrid>
        <w:gridCol w:w="3389"/>
        <w:gridCol w:w="3389"/>
        <w:gridCol w:w="3389"/>
      </w:tblGrid>
      <w:tr>
        <w:trPr>
          <w:tblHeader w:val="true"/>
          <w:cantSplit/>
        </w:trPr>
        <w:tc>
          <w:tcPr>
            <w:tcW w:type="dxa" w:w="3389"/>
            <w:shd w:fill="E8E8E8"/>
          </w:tcPr>
          <w:p>
            <w:r>
              <w:t>Map layer</w:t>
            </w:r>
          </w:p>
        </w:tc>
        <w:tc>
          <w:tcPr>
            <w:tcW w:type="dxa" w:w="3389"/>
            <w:shd w:fill="E8E8E8"/>
          </w:tcPr>
          <w:p>
            <w:r>
              <w:t>What it represents</w:t>
            </w:r>
          </w:p>
        </w:tc>
        <w:tc>
          <w:tcPr>
            <w:tcW w:type="dxa" w:w="3389"/>
            <w:shd w:fill="E8E8E8"/>
          </w:tcPr>
          <w:p>
            <w:r>
              <w:t>Rule</w:t>
            </w:r>
          </w:p>
        </w:tc>
      </w:tr>
      <w:tr>
        <w:trPr>
          <w:cantSplit/>
        </w:trPr>
        <w:tc>
          <w:tcPr>
            <w:tcW w:type="dxa" w:w="3389"/>
          </w:tcPr>
          <w:p>
            <w:r>
              <w:t>Nitya-līlā map</w:t>
            </w:r>
          </w:p>
        </w:tc>
        <w:tc>
          <w:tcPr>
            <w:tcW w:type="dxa" w:w="3389"/>
          </w:tcPr>
          <w:p>
            <w:r>
              <w:t>Jeweled steps, kuñjas, bridges, pavilions, swings, lotus dwellings, eternal service geography</w:t>
            </w:r>
          </w:p>
        </w:tc>
        <w:tc>
          <w:tcPr>
            <w:tcW w:type="dxa" w:w="3389"/>
          </w:tcPr>
          <w:p>
            <w:r>
              <w:t>Do not treat as a sixteenth-century architectural survey.</w:t>
            </w:r>
          </w:p>
        </w:tc>
      </w:tr>
      <w:tr>
        <w:trPr>
          <w:cantSplit/>
        </w:trPr>
        <w:tc>
          <w:tcPr>
            <w:tcW w:type="dxa" w:w="3389"/>
          </w:tcPr>
          <w:p>
            <w:r>
              <w:t>Early pilgrimage map</w:t>
            </w:r>
          </w:p>
        </w:tc>
        <w:tc>
          <w:tcPr>
            <w:tcW w:type="dxa" w:w="3389"/>
          </w:tcPr>
          <w:p>
            <w:r>
              <w:t>Named tīrthas and localizations in Nārāyaṇa Bhaṭṭa, Narahari Cakravartī and related literature</w:t>
            </w:r>
          </w:p>
        </w:tc>
        <w:tc>
          <w:tcPr>
            <w:tcW w:type="dxa" w:w="3389"/>
          </w:tcPr>
          <w:p>
            <w:r>
              <w:t>Use to trace when eternal līlā geography is physically localized.</w:t>
            </w:r>
          </w:p>
        </w:tc>
      </w:tr>
      <w:tr>
        <w:trPr>
          <w:cantSplit/>
        </w:trPr>
        <w:tc>
          <w:tcPr>
            <w:tcW w:type="dxa" w:w="3389"/>
          </w:tcPr>
          <w:p>
            <w:r>
              <w:t>Historical/modern map</w:t>
            </w:r>
          </w:p>
        </w:tc>
        <w:tc>
          <w:tcPr>
            <w:tcW w:type="dxa" w:w="3389"/>
          </w:tcPr>
          <w:p>
            <w:r>
              <w:t>Present ghāṭs, temples, houses, samādhis, causeways and marked kuñjas</w:t>
            </w:r>
          </w:p>
        </w:tc>
        <w:tc>
          <w:tcPr>
            <w:tcW w:type="dxa" w:w="3389"/>
          </w:tcPr>
          <w:p>
            <w:r>
              <w:t>Date and verify independently using C/D evidence.</w:t>
            </w:r>
          </w:p>
        </w:tc>
      </w:tr>
    </w:tbl>
    <w:p>
      <w:pPr>
        <w:pStyle w:val="Heading1"/>
        <w:keepNext/>
        <w:spacing w:after="50" w:before="140"/>
      </w:pPr>
      <w:r>
        <w:t>15. Unresolved questions carried forward</w:t>
      </w:r>
    </w:p>
    <w:p>
      <w:pPr>
        <w:pStyle w:val="ListBullet"/>
        <w:spacing w:after="50"/>
      </w:pPr>
      <w:r>
        <w:t>What is the exact Purāṇic provenance/recension of the twenty-verse manifestation account quoted by Viśvanātha?</w:t>
      </w:r>
    </w:p>
    <w:p>
      <w:pPr>
        <w:pStyle w:val="ListBullet"/>
        <w:spacing w:after="50"/>
      </w:pPr>
      <w:r>
        <w:t>When does the designation Śyāma-kuṇḍa become a securely attested normal textual name, as distinct from Ariṣṭa-kuṇḍa/Kṛṣṇa-kuṇḍa?</w:t>
      </w:r>
    </w:p>
    <w:p>
      <w:pPr>
        <w:pStyle w:val="ListBullet"/>
        <w:spacing w:after="50"/>
      </w:pPr>
      <w:r>
        <w:t>How should the Aśoka-kuñja / Vañjula-kuñja relationship in Kṛṣṇa-bhāvanāmṛta be understood, and can either be identified with a named Govinda-līlāmṛta directional kuñja?</w:t>
      </w:r>
    </w:p>
    <w:p>
      <w:pPr>
        <w:pStyle w:val="ListBullet"/>
        <w:spacing w:after="50"/>
      </w:pPr>
      <w:r>
        <w:t>Why do the priya-narma-sakhās divide and offer/assign their Śyāma/Ariṣṭa-kuṇḍa kuñjas to Rādhā, Lalitā and the other sakhīs in Govinda-līlāmṛta 7.113?</w:t>
      </w:r>
    </w:p>
    <w:p>
      <w:pPr>
        <w:pStyle w:val="ListBullet"/>
        <w:spacing w:after="50"/>
      </w:pPr>
      <w:r>
        <w:t>How exactly should Govinda-līlāmṛta 7.111 sva-kāntāgrahato ’tisaṁskṛtaiḥ be parsed and translated; does it supply part of the rationale for 7.113?</w:t>
      </w:r>
    </w:p>
    <w:p>
      <w:pPr>
        <w:pStyle w:val="ListBullet"/>
        <w:spacing w:after="50"/>
      </w:pPr>
      <w:r>
        <w:t>What is the correct full textual reading/name of Madhumaṅgala’s northern kuñja in Govinda-līlāmṛta 7.116?</w:t>
      </w:r>
    </w:p>
    <w:p>
      <w:pPr>
        <w:pStyle w:val="ListBullet"/>
        <w:spacing w:after="50"/>
      </w:pPr>
      <w:r>
        <w:t>What is the textual genealogy of the identification Tulasī Mañjarī = Rati Mañjarī = Bhānumatī, and should every Govinda-līlāmṛta Tulasī passage be identified that way?</w:t>
      </w:r>
    </w:p>
    <w:p>
      <w:pPr>
        <w:pStyle w:val="ListBullet"/>
        <w:spacing w:after="50"/>
      </w:pPr>
      <w:r>
        <w:t>How should the primary nitya-līlā location of Subalānandadā/Mānasa-pāvana in the Vāyu direction (north-west) be related to Bhakti-ratnākara’s early-pilgrimage localization north of Śyāma-kuṇḍa?</w:t>
      </w:r>
    </w:p>
    <w:p>
      <w:pPr>
        <w:pStyle w:val="ListBullet"/>
        <w:spacing w:after="50"/>
      </w:pPr>
      <w:r>
        <w:t>Which modern aṣṭa-sakhī and sakhā-kuñja shrine/property identifications can be traced to early pilgrimage texts rather than later local tradition?</w:t>
      </w:r>
    </w:p>
    <w:p>
      <w:pPr>
        <w:pStyle w:val="ListBullet"/>
        <w:spacing w:after="50"/>
      </w:pPr>
      <w:r>
        <w:t>What is the historical continuity, if any, between the textual setu/saṅgama and the present causeway?</w:t>
      </w:r>
    </w:p>
    <w:p>
      <w:pPr>
        <w:pStyle w:val="ListBullet"/>
        <w:spacing w:after="50"/>
      </w:pPr>
      <w:r>
        <w:t>Which seventeenth-, eighteenth- and nineteenth-century records document the shapes, ghāṭs, landholdings and physical works at the twin kuṇḍas?</w:t>
      </w:r>
    </w:p>
    <w:p>
      <w:pPr>
        <w:pStyle w:val="ListBullet"/>
        <w:spacing w:after="50"/>
      </w:pPr>
      <w:r>
        <w:t>Which present sacred trees, ghāṭs, small kuṇḍas and memorial sites preserve a demonstrable early localization?</w:t>
      </w:r>
    </w:p>
    <w:p>
      <w:pPr>
        <w:pStyle w:val="Heading1"/>
        <w:keepNext/>
        <w:spacing w:after="50" w:before="140"/>
      </w:pPr>
      <w:r>
        <w:t>16. RK-04 Caitanya/Gosvāmī block — completed at v0.4</w:t>
      </w:r>
    </w:p>
    <w:p>
      <w:pPr>
        <w:spacing w:after="50"/>
      </w:pPr>
      <w:r>
        <w:t>COMPLETED. RK-04 v0.3 now preserves Mahāprabhu’s visit and reidentification of the lupta tīrtha; Raghunātha dāsa’s Rādhā-kuṇḍa residence and restoration memory; early property/documentary claims; Jīva and Kṛṣṇadāsa’s institutional/literary roles; Jāhnavā’s visit; and the Śrīnivāsa–Narottama pilgrimage/transmission layer.</w:t>
      </w:r>
    </w:p>
    <w:p>
      <w:pPr>
        <w:pStyle w:val="Heading1"/>
        <w:keepNext/>
        <w:spacing w:after="50" w:before="140"/>
      </w:pPr>
      <w:r>
        <w:t>17. Project source files used for this checkpoint</w:t>
      </w:r>
    </w:p>
    <w:p>
      <w:pPr>
        <w:pStyle w:val="ListBullet"/>
        <w:spacing w:after="50"/>
      </w:pPr>
      <w:r>
        <w:t>govinda-lilamrita — Kṛṣṇadāsa Kavirāja — searchable mūla text (GGM-derived electronic edition).</w:t>
      </w:r>
    </w:p>
    <w:p>
      <w:pPr>
        <w:pStyle w:val="ListBullet"/>
        <w:spacing w:after="50"/>
      </w:pPr>
      <w:r>
        <w:t>govinda-lilamrita (sargas 1 to 14) — commentary text.</w:t>
      </w:r>
    </w:p>
    <w:p>
      <w:pPr>
        <w:pStyle w:val="ListBullet"/>
        <w:spacing w:after="50"/>
      </w:pPr>
      <w:r>
        <w:t>Govinda-lilamrta-1.pdf — scanned printed verification edition.</w:t>
      </w:r>
    </w:p>
    <w:p>
      <w:pPr>
        <w:pStyle w:val="ListBullet"/>
        <w:spacing w:after="50"/>
      </w:pPr>
      <w:r>
        <w:t>Krishna Bhavanamrita Mahakavya / Kṛṣṇa-bhāvanāmṛta searchable text.</w:t>
      </w:r>
    </w:p>
    <w:p>
      <w:pPr>
        <w:pStyle w:val="ListBullet"/>
        <w:spacing w:after="50"/>
      </w:pPr>
      <w:r>
        <w:t>Kṛṣṇa-bhāvanāmṛta Bengali-script scan with commentary/translation.</w:t>
      </w:r>
    </w:p>
    <w:p>
      <w:pPr>
        <w:pStyle w:val="ListBullet"/>
        <w:spacing w:after="50"/>
      </w:pPr>
      <w:r>
        <w:t>bhakti-ratnākara — searchable Romanized Taraṅgas 1–8.</w:t>
      </w:r>
    </w:p>
    <w:p>
      <w:pPr>
        <w:pStyle w:val="ListBullet"/>
        <w:spacing w:after="50"/>
      </w:pPr>
      <w:r>
        <w:t>mathura_mahatmya — Rūpa Gosvāmī searchable text.</w:t>
      </w:r>
    </w:p>
    <w:p>
      <w:pPr>
        <w:pStyle w:val="ListBullet"/>
        <w:spacing w:after="50"/>
      </w:pPr>
      <w:r>
        <w:t>Stavāvalī / Vraja-vilāsa-stava / Rādhā-kuṇḍāṣṭaka searchable texts.</w:t>
      </w:r>
    </w:p>
    <w:p>
      <w:pPr>
        <w:pStyle w:val="ListBullet"/>
        <w:spacing w:after="50"/>
      </w:pPr>
      <w:r>
        <w:t>Vraja-bhakti-vilāsa searchable Sanskrit.</w:t>
      </w:r>
    </w:p>
    <w:p>
      <w:pPr>
        <w:pStyle w:val="ListBullet"/>
        <w:spacing w:after="50"/>
      </w:pPr>
      <w:r>
        <w:t>Vraja-rīti-cintāmaṇi searchable Sanskrit + English translation.</w:t>
      </w:r>
    </w:p>
    <w:p>
      <w:pPr>
        <w:pStyle w:val="ListBullet"/>
        <w:spacing w:after="50"/>
      </w:pPr>
      <w:r>
        <w:t>Rādhā-Kṛṣṇa-gaṇoddeśa-dīpikā searchable edition.</w:t>
      </w:r>
    </w:p>
    <w:p>
      <w:pPr>
        <w:pStyle w:val="ListBullet"/>
        <w:spacing w:after="50"/>
      </w:pPr>
      <w:r>
        <w:t>The Glory and Heritage of Śrī Śrī Rādhākuṇḍa; Śrī Vraja-maṇḍala Parikramā; Entwistle; Growse.</w:t>
      </w:r>
    </w:p>
    <w:p>
      <w:pPr>
        <w:pStyle w:val="Heading1"/>
        <w:keepNext/>
        <w:spacing w:after="50" w:before="140"/>
      </w:pPr>
      <w:r>
        <w:t>18. Specialist-ledger architecture at v0.3</w:t>
      </w:r>
    </w:p>
    <w:p>
      <w:pPr>
        <w:spacing w:after="50"/>
      </w:pPr>
      <w:r>
        <w:t>The master dossier is now deliberately a control document rather than the sole repository of detail. The following specialist ledgers are authoritative working companions to this file:</w:t>
      </w:r>
    </w:p>
    <w:p>
      <w:pPr>
        <w:pStyle w:val="ListBullet"/>
        <w:spacing w:after="50"/>
      </w:pPr>
      <w:r>
        <w:t>RK-02 — Rādhā-kuṇḍa Nitya-līlā &amp; Sacred Geography Research Ledger v0.2: complete sacred architecture, route, seasonal cycle, cross-text comparison, service sequence and unresolved micro-geography.</w:t>
      </w:r>
    </w:p>
    <w:p>
      <w:pPr>
        <w:pStyle w:val="ListBullet"/>
        <w:spacing w:after="50"/>
      </w:pPr>
      <w:r>
        <w:t>RK-03 — People of the Rādhā-kuṇḍa Landscape Research Ledger v0.3: complete social/service cast, Sanskrit identity/service passages, mañjarī and dūtikā networks, priya-narma-sakhās, household elders, source-critical distinctions and open philological questions.</w:t>
      </w:r>
    </w:p>
    <w:p>
      <w:pPr>
        <w:pStyle w:val="ListBullet"/>
        <w:spacing w:after="50"/>
      </w:pPr>
      <w:r>
        <w:t>The final guide chapter must be drafted from this dossier plus RK-02/RK-03 (and later RK-04+) rather than from conversation history.</w:t>
      </w:r>
    </w:p>
    <w:p>
      <w:pPr>
        <w:pStyle w:val="Heading1"/>
        <w:keepNext/>
        <w:spacing w:after="50" w:before="140"/>
      </w:pPr>
      <w:r>
        <w:t>19. Consolidated madhyāhna route spine</w:t>
      </w:r>
    </w:p>
    <w:p>
      <w:pPr>
        <w:spacing w:after="50"/>
        <w:ind w:left="389" w:right="259"/>
      </w:pPr>
      <w:r>
        <w:rPr>
          <w:i/>
          <w:sz w:val="18"/>
        </w:rPr>
        <w:t>dvi-trāḥ kṣepyāḥ sumukhi ghaṭikāś cakṣuṣī mudrayitvā … āgantavyaṁ mayi karuṇayā chadmanāśu sva-kuṇḍaṁ …</w:t>
      </w:r>
    </w:p>
    <w:p>
      <w:pPr>
        <w:spacing w:after="50"/>
        <w:ind w:left="389" w:right="259"/>
      </w:pPr>
      <w:r>
        <w:rPr>
          <w:sz w:val="18"/>
        </w:rPr>
        <w:t>Translation: Fair-faced one, somehow pass two or three ghaṭikās … out of mercy for Me, come quickly, by a pretext, to Your own kuṇḍa.</w:t>
      </w:r>
    </w:p>
    <w:p>
      <w:pPr>
        <w:spacing w:after="50"/>
        <w:ind w:left="389"/>
      </w:pPr>
      <w:r>
        <w:rPr>
          <w:b/>
          <w:sz w:val="16"/>
        </w:rPr>
        <w:t>Govinda-līlāmṛta 5.40 (key lines)</w:t>
      </w:r>
      <w:r>
        <w:rPr>
          <w:i/>
          <w:sz w:val="16"/>
        </w:rPr>
        <w:t xml:space="preserve"> — Primary route-planning anchor; full text and commentary retained in RK-02</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val="true"/>
          <w:cantSplit/>
          <w:tblHeader w:val="true"/>
          <w:cantSplit/>
          <w:cantSplit/>
        </w:trPr>
        <w:tc>
          <w:tcPr>
            <w:tcW w:type="dxa" w:w="3389"/>
            <w:vAlign w:val="top"/>
            <w:shd w:fill="E8E8E8"/>
          </w:tcPr>
          <w:p>
            <w:pPr>
              <w:spacing w:after="0"/>
            </w:pPr>
            <w:r/>
            <w:r>
              <w:rPr>
                <w:b/>
                <w:sz w:val="17"/>
              </w:rPr>
              <w:t>Stage</w:t>
            </w:r>
          </w:p>
        </w:tc>
        <w:tc>
          <w:tcPr>
            <w:tcW w:type="dxa" w:w="3389"/>
            <w:vAlign w:val="top"/>
            <w:shd w:fill="E8E8E8"/>
          </w:tcPr>
          <w:p>
            <w:pPr>
              <w:spacing w:after="0"/>
            </w:pPr>
            <w:r/>
            <w:r>
              <w:rPr>
                <w:b/>
                <w:sz w:val="17"/>
              </w:rPr>
              <w:t>Route / activity</w:t>
            </w:r>
          </w:p>
        </w:tc>
        <w:tc>
          <w:tcPr>
            <w:tcW w:type="dxa" w:w="3389"/>
            <w:vAlign w:val="top"/>
            <w:shd w:fill="E8E8E8"/>
          </w:tcPr>
          <w:p>
            <w:pPr>
              <w:spacing w:after="0"/>
            </w:pPr>
            <w:r/>
            <w:r>
              <w:rPr>
                <w:b/>
                <w:sz w:val="17"/>
              </w:rPr>
              <w:t>Primary anchors</w:t>
            </w:r>
          </w:p>
        </w:tc>
      </w:tr>
      <w:tr>
        <w:trPr>
          <w:cantSplit/>
          <w:cantSplit/>
        </w:trPr>
        <w:tc>
          <w:tcPr>
            <w:tcW w:type="dxa" w:w="3389"/>
            <w:vAlign w:val="top"/>
          </w:tcPr>
          <w:p>
            <w:pPr>
              <w:spacing w:after="0"/>
            </w:pPr>
            <w:r/>
            <w:r>
              <w:rPr>
                <w:b w:val="0"/>
                <w:sz w:val="16"/>
              </w:rPr>
              <w:t>Appointment</w:t>
            </w:r>
          </w:p>
        </w:tc>
        <w:tc>
          <w:tcPr>
            <w:tcW w:type="dxa" w:w="3389"/>
            <w:vAlign w:val="top"/>
          </w:tcPr>
          <w:p>
            <w:pPr>
              <w:spacing w:after="0"/>
            </w:pPr>
            <w:r/>
            <w:r>
              <w:rPr>
                <w:b w:val="0"/>
                <w:sz w:val="16"/>
              </w:rPr>
              <w:t>Rādhā is asked to come by a pretext to Her own kuṇḍa.</w:t>
            </w:r>
          </w:p>
        </w:tc>
        <w:tc>
          <w:tcPr>
            <w:tcW w:type="dxa" w:w="3389"/>
            <w:vAlign w:val="top"/>
          </w:tcPr>
          <w:p>
            <w:pPr>
              <w:spacing w:after="0"/>
            </w:pPr>
            <w:r/>
            <w:r>
              <w:rPr>
                <w:b w:val="0"/>
                <w:sz w:val="16"/>
              </w:rPr>
              <w:t>GL 5.40</w:t>
            </w:r>
          </w:p>
        </w:tc>
      </w:tr>
      <w:tr>
        <w:trPr>
          <w:cantSplit/>
          <w:cantSplit/>
        </w:trPr>
        <w:tc>
          <w:tcPr>
            <w:tcW w:type="dxa" w:w="3389"/>
            <w:vAlign w:val="top"/>
          </w:tcPr>
          <w:p>
            <w:pPr>
              <w:spacing w:after="0"/>
            </w:pPr>
            <w:r/>
            <w:r>
              <w:rPr>
                <w:b w:val="0"/>
                <w:sz w:val="16"/>
              </w:rPr>
              <w:t>Separate public worlds</w:t>
            </w:r>
          </w:p>
        </w:tc>
        <w:tc>
          <w:tcPr>
            <w:tcW w:type="dxa" w:w="3389"/>
            <w:vAlign w:val="top"/>
          </w:tcPr>
          <w:p>
            <w:pPr>
              <w:spacing w:after="0"/>
            </w:pPr>
            <w:r/>
            <w:r>
              <w:rPr>
                <w:b w:val="0"/>
                <w:sz w:val="16"/>
              </w:rPr>
              <w:t>Rādhā operates through household/Sūrya duty; Kṛṣṇa through cowherding.</w:t>
            </w:r>
          </w:p>
        </w:tc>
        <w:tc>
          <w:tcPr>
            <w:tcW w:type="dxa" w:w="3389"/>
            <w:vAlign w:val="top"/>
          </w:tcPr>
          <w:p>
            <w:pPr>
              <w:spacing w:after="0"/>
            </w:pPr>
            <w:r/>
            <w:r>
              <w:rPr>
                <w:b w:val="0"/>
                <w:sz w:val="16"/>
              </w:rPr>
              <w:t>GL + KBh ch. 8</w:t>
            </w:r>
          </w:p>
        </w:tc>
      </w:tr>
      <w:tr>
        <w:trPr>
          <w:cantSplit/>
          <w:cantSplit/>
        </w:trPr>
        <w:tc>
          <w:tcPr>
            <w:tcW w:type="dxa" w:w="3389"/>
            <w:vAlign w:val="top"/>
          </w:tcPr>
          <w:p>
            <w:pPr>
              <w:spacing w:after="0"/>
            </w:pPr>
            <w:r/>
            <w:r>
              <w:rPr>
                <w:b w:val="0"/>
                <w:sz w:val="16"/>
              </w:rPr>
              <w:t>Separate approaches</w:t>
            </w:r>
          </w:p>
        </w:tc>
        <w:tc>
          <w:tcPr>
            <w:tcW w:type="dxa" w:w="3389"/>
            <w:vAlign w:val="top"/>
          </w:tcPr>
          <w:p>
            <w:pPr>
              <w:spacing w:after="0"/>
            </w:pPr>
            <w:r/>
            <w:r>
              <w:rPr>
                <w:b w:val="0"/>
                <w:sz w:val="16"/>
              </w:rPr>
              <w:t>Rādhā passes through the Sūrya/Madana-raṇa setting; Kṛṣṇa goes with Madhumaṅgala through Pramoda/Pramodana-vana.</w:t>
            </w:r>
          </w:p>
        </w:tc>
        <w:tc>
          <w:tcPr>
            <w:tcW w:type="dxa" w:w="3389"/>
            <w:vAlign w:val="top"/>
          </w:tcPr>
          <w:p>
            <w:pPr>
              <w:spacing w:after="0"/>
            </w:pPr>
            <w:r/>
            <w:r>
              <w:rPr>
                <w:b w:val="0"/>
                <w:sz w:val="16"/>
              </w:rPr>
              <w:t>KBh ch. 8; GL 7.1</w:t>
            </w:r>
          </w:p>
        </w:tc>
      </w:tr>
      <w:tr>
        <w:trPr>
          <w:cantSplit/>
          <w:cantSplit/>
        </w:trPr>
        <w:tc>
          <w:tcPr>
            <w:tcW w:type="dxa" w:w="3389"/>
            <w:vAlign w:val="top"/>
          </w:tcPr>
          <w:p>
            <w:pPr>
              <w:spacing w:after="0"/>
            </w:pPr>
            <w:r/>
            <w:r>
              <w:rPr>
                <w:b w:val="0"/>
                <w:sz w:val="16"/>
              </w:rPr>
              <w:t>Convergence &amp; first encounter</w:t>
            </w:r>
          </w:p>
        </w:tc>
        <w:tc>
          <w:tcPr>
            <w:tcW w:type="dxa" w:w="3389"/>
            <w:vAlign w:val="top"/>
          </w:tcPr>
          <w:p>
            <w:pPr>
              <w:spacing w:after="0"/>
            </w:pPr>
            <w:r/>
            <w:r>
              <w:rPr>
                <w:b w:val="0"/>
                <w:sz w:val="16"/>
              </w:rPr>
              <w:t>Arrival at Rādhā-kuṇḍa; GL gives a bakula-lined approach and recognition sequence; KBh gives an Aśoka/Vañjula hiding drama.</w:t>
            </w:r>
          </w:p>
        </w:tc>
        <w:tc>
          <w:tcPr>
            <w:tcW w:type="dxa" w:w="3389"/>
            <w:vAlign w:val="top"/>
          </w:tcPr>
          <w:p>
            <w:pPr>
              <w:spacing w:after="0"/>
            </w:pPr>
            <w:r/>
            <w:r>
              <w:rPr>
                <w:b w:val="0"/>
                <w:sz w:val="16"/>
              </w:rPr>
              <w:t>GL 8.106–115; KBh ch. 9</w:t>
            </w:r>
          </w:p>
        </w:tc>
      </w:tr>
      <w:tr>
        <w:trPr>
          <w:cantSplit/>
          <w:cantSplit/>
        </w:trPr>
        <w:tc>
          <w:tcPr>
            <w:tcW w:type="dxa" w:w="3389"/>
            <w:vAlign w:val="top"/>
          </w:tcPr>
          <w:p>
            <w:pPr>
              <w:spacing w:after="0"/>
            </w:pPr>
            <w:r/>
            <w:r>
              <w:rPr>
                <w:b w:val="0"/>
                <w:sz w:val="16"/>
              </w:rPr>
              <w:t>Seasonal organization</w:t>
            </w:r>
          </w:p>
        </w:tc>
        <w:tc>
          <w:tcPr>
            <w:tcW w:type="dxa" w:w="3389"/>
            <w:vAlign w:val="top"/>
          </w:tcPr>
          <w:p>
            <w:pPr>
              <w:spacing w:after="0"/>
            </w:pPr>
            <w:r/>
            <w:r>
              <w:rPr>
                <w:b w:val="0"/>
                <w:sz w:val="16"/>
              </w:rPr>
              <w:t>Six seasonal goddesses are assigned in relation to Rādhā-kuṇḍa and its forest.</w:t>
            </w:r>
          </w:p>
        </w:tc>
        <w:tc>
          <w:tcPr>
            <w:tcW w:type="dxa" w:w="3389"/>
            <w:vAlign w:val="top"/>
          </w:tcPr>
          <w:p>
            <w:pPr>
              <w:spacing w:after="0"/>
            </w:pPr>
            <w:r/>
            <w:r>
              <w:rPr>
                <w:b w:val="0"/>
                <w:sz w:val="16"/>
              </w:rPr>
              <w:t>KBh 10.4–5</w:t>
            </w:r>
          </w:p>
        </w:tc>
      </w:tr>
      <w:tr>
        <w:trPr>
          <w:cantSplit/>
          <w:cantSplit/>
        </w:trPr>
        <w:tc>
          <w:tcPr>
            <w:tcW w:type="dxa" w:w="3389"/>
            <w:vAlign w:val="top"/>
          </w:tcPr>
          <w:p>
            <w:pPr>
              <w:spacing w:after="0"/>
            </w:pPr>
            <w:r/>
            <w:r>
              <w:rPr>
                <w:b w:val="0"/>
                <w:sz w:val="16"/>
              </w:rPr>
              <w:t>Swing &amp; seasonal movement</w:t>
            </w:r>
          </w:p>
        </w:tc>
        <w:tc>
          <w:tcPr>
            <w:tcW w:type="dxa" w:w="3389"/>
            <w:vAlign w:val="top"/>
          </w:tcPr>
          <w:p>
            <w:pPr>
              <w:spacing w:after="0"/>
            </w:pPr>
            <w:r/>
            <w:r>
              <w:rPr>
                <w:b w:val="0"/>
                <w:sz w:val="16"/>
              </w:rPr>
              <w:t>Varṣā-harṣa and lotus swing; then wider seasonal movement through Vraja/Govardhana.</w:t>
            </w:r>
          </w:p>
        </w:tc>
        <w:tc>
          <w:tcPr>
            <w:tcW w:type="dxa" w:w="3389"/>
            <w:vAlign w:val="top"/>
          </w:tcPr>
          <w:p>
            <w:pPr>
              <w:spacing w:after="0"/>
            </w:pPr>
            <w:r/>
            <w:r>
              <w:rPr>
                <w:b w:val="0"/>
                <w:sz w:val="16"/>
              </w:rPr>
              <w:t>KBh 11.8, 11.45–49; chs. 12–13</w:t>
            </w:r>
          </w:p>
        </w:tc>
      </w:tr>
      <w:tr>
        <w:trPr>
          <w:cantSplit/>
          <w:cantSplit/>
        </w:trPr>
        <w:tc>
          <w:tcPr>
            <w:tcW w:type="dxa" w:w="3389"/>
            <w:vAlign w:val="top"/>
          </w:tcPr>
          <w:p>
            <w:pPr>
              <w:spacing w:after="0"/>
            </w:pPr>
            <w:r/>
            <w:r>
              <w:rPr>
                <w:b w:val="0"/>
                <w:sz w:val="16"/>
              </w:rPr>
              <w:t>Twin-kuṇḍa water-play</w:t>
            </w:r>
          </w:p>
        </w:tc>
        <w:tc>
          <w:tcPr>
            <w:tcW w:type="dxa" w:w="3389"/>
            <w:vAlign w:val="top"/>
          </w:tcPr>
          <w:p>
            <w:pPr>
              <w:spacing w:after="0"/>
            </w:pPr>
            <w:r/>
            <w:r>
              <w:rPr>
                <w:b w:val="0"/>
                <w:sz w:val="16"/>
              </w:rPr>
              <w:t>Return to the Rādhā-kuṇḍa/Śyāma-kuṇḍa complex; water-play, bank, pavilion, food and intimate service.</w:t>
            </w:r>
          </w:p>
        </w:tc>
        <w:tc>
          <w:tcPr>
            <w:tcW w:type="dxa" w:w="3389"/>
            <w:vAlign w:val="top"/>
          </w:tcPr>
          <w:p>
            <w:pPr>
              <w:spacing w:after="0"/>
            </w:pPr>
            <w:r/>
            <w:r>
              <w:rPr>
                <w:b w:val="0"/>
                <w:sz w:val="16"/>
              </w:rPr>
              <w:t>KBh 14.9–17, 14.48–52</w:t>
            </w:r>
          </w:p>
        </w:tc>
      </w:tr>
      <w:tr>
        <w:trPr>
          <w:cantSplit/>
          <w:cantSplit/>
        </w:trPr>
        <w:tc>
          <w:tcPr>
            <w:tcW w:type="dxa" w:w="3389"/>
            <w:vAlign w:val="top"/>
          </w:tcPr>
          <w:p>
            <w:pPr>
              <w:spacing w:after="0"/>
            </w:pPr>
            <w:r/>
            <w:r>
              <w:rPr>
                <w:b w:val="0"/>
                <w:sz w:val="16"/>
              </w:rPr>
              <w:t>Dice</w:t>
            </w:r>
          </w:p>
        </w:tc>
        <w:tc>
          <w:tcPr>
            <w:tcW w:type="dxa" w:w="3389"/>
            <w:vAlign w:val="top"/>
          </w:tcPr>
          <w:p>
            <w:pPr>
              <w:spacing w:after="0"/>
            </w:pPr>
            <w:r/>
            <w:r>
              <w:rPr>
                <w:b w:val="0"/>
                <w:sz w:val="16"/>
              </w:rPr>
              <w:t>KBh gives the organized dice assembly; GL explicitly locates a dice game in Sudevī-sukhada and also preserves another earlier dice episode.</w:t>
            </w:r>
          </w:p>
        </w:tc>
        <w:tc>
          <w:tcPr>
            <w:tcW w:type="dxa" w:w="3389"/>
            <w:vAlign w:val="top"/>
          </w:tcPr>
          <w:p>
            <w:pPr>
              <w:spacing w:after="0"/>
            </w:pPr>
            <w:r/>
            <w:r>
              <w:rPr>
                <w:b w:val="0"/>
                <w:sz w:val="16"/>
              </w:rPr>
              <w:t>KBh 15.1–8; GL 18.25; GL Sarga 15</w:t>
            </w:r>
          </w:p>
        </w:tc>
      </w:tr>
      <w:tr>
        <w:trPr>
          <w:cantSplit/>
          <w:cantSplit/>
        </w:trPr>
        <w:tc>
          <w:tcPr>
            <w:tcW w:type="dxa" w:w="3389"/>
            <w:vAlign w:val="top"/>
          </w:tcPr>
          <w:p>
            <w:pPr>
              <w:spacing w:after="0"/>
            </w:pPr>
            <w:r/>
            <w:r>
              <w:rPr>
                <w:b w:val="0"/>
                <w:sz w:val="16"/>
              </w:rPr>
              <w:t>Sūrya closure</w:t>
            </w:r>
          </w:p>
        </w:tc>
        <w:tc>
          <w:tcPr>
            <w:tcW w:type="dxa" w:w="3389"/>
            <w:vAlign w:val="top"/>
          </w:tcPr>
          <w:p>
            <w:pPr>
              <w:spacing w:after="0"/>
            </w:pPr>
            <w:r/>
            <w:r>
              <w:rPr>
                <w:b w:val="0"/>
                <w:sz w:val="16"/>
              </w:rPr>
              <w:t>Jatilā’s arrival and Sūrya-pūjā reassert the public religious/social framework.</w:t>
            </w:r>
          </w:p>
        </w:tc>
        <w:tc>
          <w:tcPr>
            <w:tcW w:type="dxa" w:w="3389"/>
            <w:vAlign w:val="top"/>
          </w:tcPr>
          <w:p>
            <w:pPr>
              <w:spacing w:after="0"/>
            </w:pPr>
            <w:r/>
            <w:r>
              <w:rPr>
                <w:b w:val="0"/>
                <w:sz w:val="16"/>
              </w:rPr>
              <w:t>GL 18.91–92; KBh 15.53ff.</w:t>
            </w:r>
          </w:p>
        </w:tc>
      </w:tr>
      <w:tr>
        <w:trPr>
          <w:cantSplit/>
          <w:cantSplit/>
        </w:trPr>
        <w:tc>
          <w:tcPr>
            <w:tcW w:type="dxa" w:w="3389"/>
            <w:vAlign w:val="top"/>
          </w:tcPr>
          <w:p>
            <w:pPr>
              <w:spacing w:after="0"/>
            </w:pPr>
            <w:r/>
            <w:r>
              <w:rPr>
                <w:b w:val="0"/>
                <w:sz w:val="16"/>
              </w:rPr>
              <w:t>Return to public worlds</w:t>
            </w:r>
          </w:p>
        </w:tc>
        <w:tc>
          <w:tcPr>
            <w:tcW w:type="dxa" w:w="3389"/>
            <w:vAlign w:val="top"/>
          </w:tcPr>
          <w:p>
            <w:pPr>
              <w:spacing w:after="0"/>
            </w:pPr>
            <w:r/>
            <w:r>
              <w:rPr>
                <w:b w:val="0"/>
                <w:sz w:val="16"/>
              </w:rPr>
              <w:t>Rādhā goes home with Jatilā/sakhīs; Kṛṣṇa returns to His cowherd sakhās; aparāhna begins.</w:t>
            </w:r>
          </w:p>
        </w:tc>
        <w:tc>
          <w:tcPr>
            <w:tcW w:type="dxa" w:w="3389"/>
            <w:vAlign w:val="top"/>
          </w:tcPr>
          <w:p>
            <w:pPr>
              <w:spacing w:after="0"/>
            </w:pPr>
            <w:r/>
            <w:r>
              <w:rPr>
                <w:b w:val="0"/>
                <w:sz w:val="16"/>
              </w:rPr>
              <w:t>GL 18.92–96, 19.1; KBh 15.80–82</w:t>
            </w:r>
          </w:p>
        </w:tc>
      </w:tr>
    </w:tbl>
    <w:p>
      <w:pPr>
        <w:pStyle w:val="Heading1"/>
        <w:keepNext/>
        <w:spacing w:after="50" w:before="140"/>
      </w:pPr>
      <w:r>
        <w:t>20. People-of-the-Landscape milestone — controlling social/service conclusions</w:t>
      </w:r>
    </w:p>
    <w:p>
      <w:pPr>
        <w:spacing w:after="50"/>
      </w:pPr>
      <w:r>
        <w:t>The Rādhā-kuṇḍa landscape is now established as a layered sevā ecology rather than a list of isolated characters. The categories below are a research synthesis of explicit source roles; they are not a single textual “organization chart.”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blHeader w:val="true"/>
          <w:cantSplit/>
          <w:tblHeader w:val="true"/>
          <w:cantSplit/>
          <w:tblHeader w:val="true"/>
          <w:cantSplit/>
          <w:cantSplit/>
        </w:trPr>
        <w:tc>
          <w:tcPr>
            <w:tcW w:type="dxa" w:w="2541"/>
            <w:vAlign w:val="top"/>
            <w:shd w:fill="E8E8E8"/>
          </w:tcPr>
          <w:p>
            <w:pPr>
              <w:spacing w:after="0"/>
            </w:pPr>
            <w:r/>
            <w:r>
              <w:rPr>
                <w:b/>
                <w:sz w:val="17"/>
              </w:rPr>
              <w:t>Layer</w:t>
            </w:r>
          </w:p>
        </w:tc>
        <w:tc>
          <w:tcPr>
            <w:tcW w:type="dxa" w:w="2541"/>
            <w:vAlign w:val="top"/>
            <w:shd w:fill="E8E8E8"/>
          </w:tcPr>
          <w:p>
            <w:pPr>
              <w:spacing w:after="0"/>
            </w:pPr>
            <w:r/>
            <w:r>
              <w:rPr>
                <w:b/>
                <w:sz w:val="17"/>
              </w:rPr>
              <w:t>Principal figures</w:t>
            </w:r>
          </w:p>
        </w:tc>
        <w:tc>
          <w:tcPr>
            <w:tcW w:type="dxa" w:w="2541"/>
            <w:vAlign w:val="top"/>
            <w:shd w:fill="E8E8E8"/>
          </w:tcPr>
          <w:p>
            <w:pPr>
              <w:spacing w:after="0"/>
            </w:pPr>
            <w:r/>
            <w:r>
              <w:rPr>
                <w:b/>
                <w:sz w:val="17"/>
              </w:rPr>
              <w:t>Characteristic function</w:t>
            </w:r>
          </w:p>
        </w:tc>
        <w:tc>
          <w:tcPr>
            <w:tcW w:type="dxa" w:w="2541"/>
            <w:vAlign w:val="top"/>
            <w:shd w:fill="E8E8E8"/>
          </w:tcPr>
          <w:p>
            <w:pPr>
              <w:spacing w:after="0"/>
            </w:pPr>
            <w:r/>
            <w:r>
              <w:rPr>
                <w:b/>
                <w:sz w:val="17"/>
              </w:rPr>
              <w:t>Key sources</w:t>
            </w:r>
          </w:p>
        </w:tc>
      </w:tr>
      <w:tr>
        <w:trPr>
          <w:cantSplit/>
          <w:cantSplit/>
        </w:trPr>
        <w:tc>
          <w:tcPr>
            <w:tcW w:type="dxa" w:w="2541"/>
            <w:vAlign w:val="top"/>
          </w:tcPr>
          <w:p>
            <w:pPr>
              <w:spacing w:after="0"/>
            </w:pPr>
            <w:r/>
            <w:r>
              <w:rPr>
                <w:b w:val="0"/>
                <w:sz w:val="15"/>
              </w:rPr>
              <w:t>Senior sakhī administration</w:t>
            </w:r>
          </w:p>
        </w:tc>
        <w:tc>
          <w:tcPr>
            <w:tcW w:type="dxa" w:w="2541"/>
            <w:vAlign w:val="top"/>
          </w:tcPr>
          <w:p>
            <w:pPr>
              <w:spacing w:after="0"/>
            </w:pPr>
            <w:r/>
            <w:r>
              <w:rPr>
                <w:b w:val="0"/>
                <w:sz w:val="15"/>
              </w:rPr>
              <w:t>Lalitā, Viśākhā and the aṣṭa-sakhīs</w:t>
            </w:r>
          </w:p>
        </w:tc>
        <w:tc>
          <w:tcPr>
            <w:tcW w:type="dxa" w:w="2541"/>
            <w:vAlign w:val="top"/>
          </w:tcPr>
          <w:p>
            <w:pPr>
              <w:spacing w:after="0"/>
            </w:pPr>
            <w:r/>
            <w:r>
              <w:rPr>
                <w:b w:val="0"/>
                <w:sz w:val="15"/>
              </w:rPr>
              <w:t>Rasa governance, meeting strategy, protection of Rādhā’s interests, specialist services; each heads a subordinate network.</w:t>
            </w:r>
          </w:p>
        </w:tc>
        <w:tc>
          <w:tcPr>
            <w:tcW w:type="dxa" w:w="2541"/>
            <w:vAlign w:val="top"/>
          </w:tcPr>
          <w:p>
            <w:pPr>
              <w:spacing w:after="0"/>
            </w:pPr>
            <w:r/>
            <w:r>
              <w:rPr>
                <w:b w:val="0"/>
                <w:sz w:val="15"/>
              </w:rPr>
              <w:t>Gaṇoddeśa-dīpikā 76–204; GL 7.27–99</w:t>
            </w:r>
          </w:p>
        </w:tc>
      </w:tr>
      <w:tr>
        <w:trPr>
          <w:cantSplit/>
          <w:cantSplit/>
        </w:trPr>
        <w:tc>
          <w:tcPr>
            <w:tcW w:type="dxa" w:w="2541"/>
            <w:vAlign w:val="top"/>
          </w:tcPr>
          <w:p>
            <w:pPr>
              <w:spacing w:after="0"/>
            </w:pPr>
            <w:r/>
            <w:r>
              <w:rPr>
                <w:b w:val="0"/>
                <w:sz w:val="15"/>
              </w:rPr>
              <w:t>Central / intimate feminine circle</w:t>
            </w:r>
          </w:p>
        </w:tc>
        <w:tc>
          <w:tcPr>
            <w:tcW w:type="dxa" w:w="2541"/>
            <w:vAlign w:val="top"/>
          </w:tcPr>
          <w:p>
            <w:pPr>
              <w:spacing w:after="0"/>
            </w:pPr>
            <w:r/>
            <w:r>
              <w:rPr>
                <w:b w:val="0"/>
                <w:sz w:val="15"/>
              </w:rPr>
              <w:t>Anaṅga Mañjarī; Rūpa Mañjarī, Rati Mañjarī and other mañjarīs</w:t>
            </w:r>
          </w:p>
        </w:tc>
        <w:tc>
          <w:tcPr>
            <w:tcW w:type="dxa" w:w="2541"/>
            <w:vAlign w:val="top"/>
          </w:tcPr>
          <w:p>
            <w:pPr>
              <w:spacing w:after="0"/>
            </w:pPr>
            <w:r/>
            <w:r>
              <w:rPr>
                <w:b w:val="0"/>
                <w:sz w:val="15"/>
              </w:rPr>
              <w:t>Anaṅga is a vara-sakhī and Rādhā’s younger sister with the central water-lotus dwelling; the mañjarīs provide moment-sensitive intimate dressing, food, route-security, foot and rest services.</w:t>
            </w:r>
          </w:p>
        </w:tc>
        <w:tc>
          <w:tcPr>
            <w:tcW w:type="dxa" w:w="2541"/>
            <w:vAlign w:val="top"/>
          </w:tcPr>
          <w:p>
            <w:pPr>
              <w:spacing w:after="0"/>
            </w:pPr>
            <w:r/>
            <w:r>
              <w:rPr>
                <w:b w:val="0"/>
                <w:sz w:val="15"/>
              </w:rPr>
              <w:t>GD 121–122, 173a, 182–186; GL 7.100–101; GL 1, 2, 15, 23; Vilāpa-kusumāñjali</w:t>
            </w:r>
          </w:p>
        </w:tc>
      </w:tr>
      <w:tr>
        <w:trPr>
          <w:cantSplit/>
          <w:cantSplit/>
        </w:trPr>
        <w:tc>
          <w:tcPr>
            <w:tcW w:type="dxa" w:w="2541"/>
            <w:vAlign w:val="top"/>
          </w:tcPr>
          <w:p>
            <w:pPr>
              <w:spacing w:after="0"/>
            </w:pPr>
            <w:r/>
            <w:r>
              <w:rPr>
                <w:b w:val="0"/>
                <w:sz w:val="15"/>
              </w:rPr>
              <w:t>Orchestration / dūtikā network</w:t>
            </w:r>
          </w:p>
        </w:tc>
        <w:tc>
          <w:tcPr>
            <w:tcW w:type="dxa" w:w="2541"/>
            <w:vAlign w:val="top"/>
          </w:tcPr>
          <w:p>
            <w:pPr>
              <w:spacing w:after="0"/>
            </w:pPr>
            <w:r/>
            <w:r>
              <w:rPr>
                <w:b w:val="0"/>
                <w:sz w:val="15"/>
              </w:rPr>
              <w:t>Paurṇamāsī, Vṛndā, Kundalatā, Nandīmukhī, Tulasī</w:t>
            </w:r>
          </w:p>
        </w:tc>
        <w:tc>
          <w:tcPr>
            <w:tcW w:type="dxa" w:w="2541"/>
            <w:vAlign w:val="top"/>
          </w:tcPr>
          <w:p>
            <w:pPr>
              <w:spacing w:after="0"/>
            </w:pPr>
            <w:r/>
            <w:r>
              <w:rPr>
                <w:b w:val="0"/>
                <w:sz w:val="15"/>
              </w:rPr>
              <w:t>Senior strategy, kuñja/environment preparation, social bridging, reconciliation/witness roles, message and service-article delivery.</w:t>
            </w:r>
          </w:p>
        </w:tc>
        <w:tc>
          <w:tcPr>
            <w:tcW w:type="dxa" w:w="2541"/>
            <w:vAlign w:val="top"/>
          </w:tcPr>
          <w:p>
            <w:pPr>
              <w:spacing w:after="0"/>
            </w:pPr>
            <w:r/>
            <w:r>
              <w:rPr>
                <w:b w:val="0"/>
                <w:sz w:val="15"/>
              </w:rPr>
              <w:t>GD 87–101, 185, 189; VVS 25, 31–34; GL/KBh</w:t>
            </w:r>
          </w:p>
        </w:tc>
      </w:tr>
      <w:tr>
        <w:trPr>
          <w:cantSplit/>
          <w:cantSplit/>
        </w:trPr>
        <w:tc>
          <w:tcPr>
            <w:tcW w:type="dxa" w:w="2541"/>
            <w:vAlign w:val="top"/>
          </w:tcPr>
          <w:p>
            <w:pPr>
              <w:spacing w:after="0"/>
            </w:pPr>
            <w:r/>
            <w:r>
              <w:rPr>
                <w:b w:val="0"/>
                <w:sz w:val="15"/>
              </w:rPr>
              <w:t>Kṛṣṇa-side confidential network</w:t>
            </w:r>
          </w:p>
        </w:tc>
        <w:tc>
          <w:tcPr>
            <w:tcW w:type="dxa" w:w="2541"/>
            <w:vAlign w:val="top"/>
          </w:tcPr>
          <w:p>
            <w:pPr>
              <w:spacing w:after="0"/>
            </w:pPr>
            <w:r/>
            <w:r>
              <w:rPr>
                <w:b w:val="0"/>
                <w:sz w:val="15"/>
              </w:rPr>
              <w:t>Subala, Madhumaṅgala, Ujjvala and other priya-narma-sakhās</w:t>
            </w:r>
          </w:p>
        </w:tc>
        <w:tc>
          <w:tcPr>
            <w:tcW w:type="dxa" w:w="2541"/>
            <w:vAlign w:val="top"/>
          </w:tcPr>
          <w:p>
            <w:pPr>
              <w:spacing w:after="0"/>
            </w:pPr>
            <w:r/>
            <w:r>
              <w:rPr>
                <w:b w:val="0"/>
                <w:sz w:val="15"/>
              </w:rPr>
              <w:t>Confidential knowledge of Kṛṣṇa’s affairs, meeting facilitation, social cover, joking/counsel, and a separate Śyāma/Ariṣṭa-kuṇḍa kuñja network.</w:t>
            </w:r>
          </w:p>
        </w:tc>
        <w:tc>
          <w:tcPr>
            <w:tcW w:type="dxa" w:w="2541"/>
            <w:vAlign w:val="top"/>
          </w:tcPr>
          <w:p>
            <w:pPr>
              <w:spacing w:after="0"/>
            </w:pPr>
            <w:r/>
            <w:r>
              <w:rPr>
                <w:b w:val="0"/>
                <w:sz w:val="15"/>
              </w:rPr>
              <w:t>GD Laghu 41–65; VVS 22–24; GL 5.78, 7.111–117</w:t>
            </w:r>
          </w:p>
        </w:tc>
      </w:tr>
      <w:tr>
        <w:trPr>
          <w:cantSplit/>
          <w:cantSplit/>
        </w:trPr>
        <w:tc>
          <w:tcPr>
            <w:tcW w:type="dxa" w:w="2541"/>
            <w:vAlign w:val="top"/>
          </w:tcPr>
          <w:p>
            <w:pPr>
              <w:spacing w:after="0"/>
            </w:pPr>
            <w:r/>
            <w:r>
              <w:rPr>
                <w:b w:val="0"/>
                <w:sz w:val="15"/>
              </w:rPr>
              <w:t>Household / elder social world</w:t>
            </w:r>
          </w:p>
        </w:tc>
        <w:tc>
          <w:tcPr>
            <w:tcW w:type="dxa" w:w="2541"/>
            <w:vAlign w:val="top"/>
          </w:tcPr>
          <w:p>
            <w:pPr>
              <w:spacing w:after="0"/>
            </w:pPr>
            <w:r/>
            <w:r>
              <w:rPr>
                <w:b w:val="0"/>
                <w:sz w:val="15"/>
              </w:rPr>
              <w:t>Mukharā, Jatilā, Abhimanyu, Kuṭilā</w:t>
            </w:r>
          </w:p>
        </w:tc>
        <w:tc>
          <w:tcPr>
            <w:tcW w:type="dxa" w:w="2541"/>
            <w:vAlign w:val="top"/>
          </w:tcPr>
          <w:p>
            <w:pPr>
              <w:spacing w:after="0"/>
            </w:pPr>
            <w:r/>
            <w:r>
              <w:rPr>
                <w:b w:val="0"/>
                <w:sz w:val="15"/>
              </w:rPr>
              <w:t>Affection, surveillance, suspicion, fault-finding, public household duties and the social constraints that make pretexts/disguises necessary.</w:t>
            </w:r>
          </w:p>
        </w:tc>
        <w:tc>
          <w:tcPr>
            <w:tcW w:type="dxa" w:w="2541"/>
            <w:vAlign w:val="top"/>
          </w:tcPr>
          <w:p>
            <w:pPr>
              <w:spacing w:after="0"/>
            </w:pPr>
            <w:r/>
            <w:r>
              <w:rPr>
                <w:b w:val="0"/>
                <w:sz w:val="15"/>
              </w:rPr>
              <w:t>GD Laghu 170–174; VVS 28; GL 1.77, 3.44–45, 18.91–92; BR 5</w:t>
            </w:r>
          </w:p>
        </w:tc>
      </w:tr>
    </w:tbl>
    <w:p>
      <w:pPr>
        <w:pStyle w:val="Heading1"/>
        <w:keepNext/>
        <w:spacing w:after="50" w:before="140"/>
      </w:pPr>
      <w:r>
        <w:t>21. Key source-critical rulings added at v0.3</w:t>
      </w:r>
    </w:p>
    <w:p>
      <w:pPr>
        <w:spacing w:after="50"/>
        <w:ind w:left="389" w:right="259"/>
      </w:pPr>
      <w:r>
        <w:rPr>
          <w:i/>
          <w:sz w:val="18"/>
        </w:rPr>
        <w:t>dakṣa-sannandanādyāś ca teṣāṁ sva-svābhidhānvitāḥ | tair vibhajyārpitāḥ kuñjās te rādhā-lalitādiṣu ||113||</w:t>
      </w:r>
    </w:p>
    <w:p>
      <w:pPr>
        <w:spacing w:after="50"/>
        <w:ind w:left="389" w:right="259"/>
      </w:pPr>
      <w:r>
        <w:rPr>
          <w:sz w:val="18"/>
        </w:rPr>
        <w:t>Translation: Dakṣa, Sannandana and the others likewise had kuñjas bearing their respective names; those kuñjas were divided/distributed by them and offered/assigned to Rādhā, Lalitā and the others.</w:t>
      </w:r>
    </w:p>
    <w:p>
      <w:pPr>
        <w:spacing w:after="50"/>
        <w:ind w:left="389"/>
      </w:pPr>
      <w:r>
        <w:rPr>
          <w:b/>
          <w:sz w:val="16"/>
        </w:rPr>
        <w:t>Govinda-līlāmṛta 7.113</w:t>
      </w:r>
      <w:r>
        <w:rPr>
          <w:i/>
          <w:sz w:val="16"/>
        </w:rPr>
        <w:t xml:space="preserve"> — The act of assignment is explicit; the motive remains an open research question</w:t>
      </w:r>
    </w:p>
    <w:p>
      <w:pPr>
        <w:pStyle w:val="ListBullet"/>
        <w:spacing w:after="50"/>
      </w:pPr>
      <w:r>
        <w:t>Sakhā-kuñja assignment: GL 7.113 explicitly says the priya-narma-sakhās divide and offer/assign their kuñjas to Rādhā, Lalitā and others. A sevā rationale is strongly plausible from context but has not yet been located as an explicit explanatory statement.</w:t>
      </w:r>
    </w:p>
    <w:p>
      <w:pPr>
        <w:pStyle w:val="ListBullet"/>
        <w:spacing w:after="50"/>
      </w:pPr>
      <w:r>
        <w:t>Mānasa-pāvana direction discrepancy: GL 7.114 places Subalānandadā/Mānasa-pāvana in the Vāyu direction (north-west) in nitya-līlā geography; Bhakti-ratnākara 5.599 localizes Subala’s kuñja/Mānasa-pāvana north of Śyāma-kuṇḍa in early pilgrimage geography. Preserve both layers; do not harmonize silently.</w:t>
      </w:r>
    </w:p>
    <w:p>
      <w:pPr>
        <w:pStyle w:val="ListBullet"/>
        <w:spacing w:after="50"/>
      </w:pPr>
      <w:r>
        <w:t>Priya-narma lists are not perfectly fixed: GD and GL overlap strongly but enumerate different names. The guide should speak of a priya-narma-sakhā network rather than invent a rigid eightfold male counterpart.</w:t>
      </w:r>
    </w:p>
    <w:p>
      <w:pPr>
        <w:pStyle w:val="ListBullet"/>
        <w:spacing w:after="50"/>
      </w:pPr>
      <w:r>
        <w:t>GL and KBh should not be flattened into one chronology: GL contains more than one dice episode, while KBh organizes the principal sequence water-play → dice → Sūrya closure.</w:t>
      </w:r>
    </w:p>
    <w:p>
      <w:pPr>
        <w:spacing w:after="50"/>
        <w:ind w:left="389" w:right="259"/>
      </w:pPr>
      <w:r>
        <w:rPr>
          <w:i/>
          <w:sz w:val="18"/>
        </w:rPr>
        <w:t>śvaśrūs tu jaṭilā khyātā pati-manyo ’bhimanyukaḥ | nanandā kuṭilā-nāmnī sadā-cchidra-vidhāyinī ||174||</w:t>
      </w:r>
    </w:p>
    <w:p>
      <w:pPr>
        <w:spacing w:after="50"/>
        <w:ind w:left="389" w:right="259"/>
      </w:pPr>
      <w:r>
        <w:rPr>
          <w:sz w:val="18"/>
        </w:rPr>
        <w:t>Translation: Jatilā is known as the mother-in-law; Abhimanyu is pati-manya—one who considers himself the husband; Kuṭilā is the sister-in-law, always seeking faults/openings.</w:t>
      </w:r>
    </w:p>
    <w:p>
      <w:pPr>
        <w:spacing w:after="50"/>
        <w:ind w:left="389"/>
      </w:pPr>
      <w:r>
        <w:rPr>
          <w:b/>
          <w:sz w:val="16"/>
        </w:rPr>
        <w:t>Rādhā-Kṛṣṇa-gaṇoddeśa-dīpikā, Laghu-bhāga 174</w:t>
      </w:r>
      <w:r>
        <w:rPr>
          <w:i/>
          <w:sz w:val="16"/>
        </w:rPr>
        <w:t xml:space="preserve"> — Preserve pati-manya rather than flattening the line to a simple “Rādhā’s husband” statement</w:t>
      </w:r>
    </w:p>
    <w:p>
      <w:pPr>
        <w:pStyle w:val="ListBullet"/>
        <w:spacing w:after="50"/>
      </w:pPr>
      <w:r>
        <w:t>Abhimanyu: the edition’s “illusory husband” is an interpretive theological rendering of the more precise Sanskrit pati-manya. The final guide should quote the Sanskrit and distinguish the wording from later explanatory tradition.</w:t>
      </w:r>
    </w:p>
    <w:p>
      <w:pPr>
        <w:pStyle w:val="ListBullet"/>
        <w:spacing w:after="50"/>
      </w:pPr>
      <w:r>
        <w:t>Tulasī identity: GL securely presents Tulasī as an intimate operational servant/messenger. The equation Tulasī Mañjarī = Rati Mañjarī = Bhānumatī is presently attested in the KBh printed/commentarial tradition and remains a genealogy question, not an automatic substitution rule.</w:t>
      </w:r>
    </w:p>
    <w:p>
      <w:pPr>
        <w:pStyle w:val="Heading1"/>
        <w:keepNext/>
        <w:spacing w:after="50" w:before="140"/>
      </w:pPr>
      <w:r>
        <w:t>22. Devotional center to preserve in later synthesis</w:t>
      </w:r>
    </w:p>
    <w:p>
      <w:pPr>
        <w:spacing w:after="50"/>
      </w:pPr>
      <w:r>
        <w:t>The final chapter must not let the complexity of maps and service networks obscure the devotional center: Rādhā-kuṇḍa is described as Rādhā’s own lake, the eternal meeting and service environment of Rādhā-Mādhava, and in Raghunātha dāsa’s prayer as the geographical home of longing for Rādhā-dāsya.</w:t>
      </w:r>
    </w:p>
    <w:p>
      <w:pPr>
        <w:spacing w:after="50"/>
        <w:ind w:left="389" w:right="259"/>
      </w:pPr>
      <w:r>
        <w:rPr>
          <w:i/>
          <w:sz w:val="18"/>
        </w:rPr>
        <w:t>sva-kuṇḍaṁ tava lolākṣi / sa-priyāyāḥ sadāspadam | atraiva mama saṁvāsa / ihaiva mama saṁsthitiḥ ||97||</w:t>
      </w:r>
    </w:p>
    <w:p>
      <w:pPr>
        <w:spacing w:after="50"/>
        <w:ind w:left="389" w:right="259"/>
      </w:pPr>
      <w:r>
        <w:rPr>
          <w:sz w:val="18"/>
        </w:rPr>
        <w:t>Translation: O restless-eyed one, Your own kuṇḍa is the eternal abode of You together with Your beloved. Here alone shall be my residence; here alone shall be my abiding place.</w:t>
      </w:r>
    </w:p>
    <w:p>
      <w:pPr>
        <w:spacing w:after="50"/>
        <w:ind w:left="389"/>
      </w:pPr>
      <w:r>
        <w:rPr>
          <w:b/>
          <w:sz w:val="16"/>
        </w:rPr>
        <w:t>Raghunātha dāsa Gosvāmī, Vilāpa-kusumāñjali 97</w:t>
      </w:r>
      <w:r>
        <w:rPr>
          <w:i/>
          <w:sz w:val="16"/>
        </w:rPr>
        <w:t xml:space="preserve"> — Major quotation for the eventual devotional synthesis</w:t>
      </w:r>
    </w:p>
    <w:p>
      <w:pPr>
        <w:pStyle w:val="Heading1"/>
        <w:keepNext/>
        <w:spacing w:after="50" w:before="140"/>
      </w:pPr>
      <w:r>
        <w:t>23. RK-04 scope and documentation plan — completed</w:t>
      </w:r>
    </w:p>
    <w:p>
      <w:pPr>
        <w:pStyle w:val="ListBullet"/>
        <w:spacing w:after="50"/>
      </w:pPr>
      <w:r>
        <w:t>Mahāprabhu at Rādhā-kuṇḍa: exact Caitanya-caritāmṛta passages, wording of recognition/identification, actions, bathing, praise, and route context; distinguish what the text actually says from later “rediscovery” language.</w:t>
      </w:r>
    </w:p>
    <w:p>
      <w:pPr>
        <w:pStyle w:val="ListBullet"/>
        <w:spacing w:after="50"/>
      </w:pPr>
      <w:r>
        <w:t>Raghunātha dāsa Gosvāmī: arrival at Rādhā-kuṇḍa, residence, bhajana, relationship with the waters, literary output, restoration/enlargement traditions and documentary history.</w:t>
      </w:r>
    </w:p>
    <w:p>
      <w:pPr>
        <w:pStyle w:val="ListBullet"/>
        <w:spacing w:after="50"/>
      </w:pPr>
      <w:r>
        <w:t>Rūpa, Sanātana, Jīva, Kṛṣṇadāsa Kavirāja and other Gosvāmīs: residence/visits, textual contributions, land/property traditions and institutional legacy.</w:t>
      </w:r>
    </w:p>
    <w:p>
      <w:pPr>
        <w:pStyle w:val="ListBullet"/>
        <w:spacing w:after="50"/>
      </w:pPr>
      <w:r>
        <w:t>Jāhnavā, Śrīnivāsa, Narottama and early post-Gosvāmī pilgrimage: direct Bhakti-ratnākara evidence and the development of a visitable sacred complex.</w:t>
      </w:r>
    </w:p>
    <w:p>
      <w:pPr>
        <w:pStyle w:val="ListBullet"/>
        <w:spacing w:after="50"/>
      </w:pPr>
      <w:r>
        <w:t>Source separation: near-contemporary biography and Gosvāmī texts (A) vs. early Vraja pilgrimage memory (B) vs. later/local institutional claims (C) vs. deeds, maps, inscriptions and historical scholarship (D).</w:t>
      </w:r>
    </w:p>
    <w:p>
      <w:pPr>
        <w:pStyle w:val="ListBullet"/>
        <w:spacing w:after="50"/>
      </w:pPr>
      <w:r>
        <w:t>At the completion of RK-04, update this master dossier again before moving into full physical/architectural history.</w:t>
      </w:r>
    </w:p>
    <w:p>
      <w:pPr>
        <w:pStyle w:val="ListBullet"/>
        <w:spacing w:after="50"/>
      </w:pPr>
      <w:r>
        <w:t>RK-02_Radhakunda_Nitya-lila_and_Sacred_Geography_Research_Ledger_v0.2 — specialist nitya-līlā/geography control document.</w:t>
      </w:r>
    </w:p>
    <w:p>
      <w:pPr>
        <w:pStyle w:val="ListBullet"/>
        <w:spacing w:after="50"/>
      </w:pPr>
      <w:r>
        <w:t>RK-03_Radhakunda_People_of_the_Landscape_Research_Ledger_v0.3 — specialist people/service-ecology control document.</w:t>
      </w:r>
    </w:p>
    <w:p>
      <w:pPr>
        <w:pStyle w:val="Heading1"/>
        <w:keepNext/>
        <w:spacing w:after="50"/>
      </w:pPr>
      <w:r>
        <w:t>24. RK-04 specialist ledger now controls Caitanya/Gosvāmī history</w:t>
      </w:r>
    </w:p>
    <w:p>
      <w:pPr>
        <w:spacing w:after="50"/>
      </w:pPr>
      <w:r>
        <w:t>RK-04 v0.3 is now the durable evidence ledger for the historical Gauḍīya transformation of Rādhā-kuṇḍa. This master dossier records only the controlling conclusions and source-status rulings; final historical prose must be drafted from RK-04 itself whenever exact quotations, variants or documentary cautions matter.</w:t>
      </w:r>
    </w:p>
    <w:p>
      <w:pPr>
        <w:pStyle w:val="Heading1"/>
        <w:keepNext/>
        <w:spacing w:after="50"/>
      </w:pPr>
      <w:r>
        <w:t>25. Mahāprabhu at Āriṭ-grāma — the meaning of “rediscovery”</w:t>
      </w:r>
    </w:p>
    <w:p>
      <w:pPr>
        <w:spacing w:after="50"/>
        <w:ind w:left="403" w:right="259"/>
      </w:pPr>
      <w:r>
        <w:rPr>
          <w:i/>
          <w:sz w:val="18"/>
        </w:rPr>
        <w:t>tīrtha ‘lupta’ jāni’ prabhu sarvajña bhagavān | dui dhānya-kṣetre alpa-jale kailā snāna ||5||</w:t>
      </w:r>
    </w:p>
    <w:p>
      <w:pPr>
        <w:spacing w:after="50"/>
        <w:ind w:left="403" w:right="259"/>
      </w:pPr>
      <w:r>
        <w:rPr>
          <w:sz w:val="17"/>
        </w:rPr>
        <w:t>Translation: Knowing the tīrtha to be lost/obscured, the omniscient Lord bathed in a little water in two paddy fields.</w:t>
      </w:r>
    </w:p>
    <w:p>
      <w:pPr>
        <w:spacing w:after="50"/>
        <w:ind w:left="403"/>
      </w:pPr>
      <w:r>
        <w:rPr>
          <w:b/>
          <w:sz w:val="16"/>
        </w:rPr>
        <w:t>Caitanya-caritāmṛta, Madhya 18.5</w:t>
      </w:r>
      <w:r>
        <w:rPr>
          <w:i/>
          <w:sz w:val="16"/>
        </w:rPr>
        <w:t xml:space="preserve"> — A-level controlling historical anchor</w:t>
      </w:r>
    </w:p>
    <w:p>
      <w:pPr>
        <w:pStyle w:val="ListBullet"/>
        <w:spacing w:after="50"/>
      </w:pPr>
      <w:r>
        <w:t>CC Madhya 18.3–4: Mahāprabhu arrives at inhabited Āriṭ-grāma, asks the local people for Rādhā-kuṇḍa, and neither they nor the accompanying brāhmaṇa can identify it.</w:t>
      </w:r>
    </w:p>
    <w:p>
      <w:pPr>
        <w:pStyle w:val="ListBullet"/>
        <w:spacing w:after="50"/>
      </w:pPr>
      <w:r>
        <w:t>CC Madhya 18.5 calls the tīrtha lupta and depicts two paddy fields containing only a little water. “Rediscovery” therefore means authoritative Gauḍīya reidentification/recognition of an obscured tīrtha, not creation of the waters or construction of the later masonry complex.</w:t>
      </w:r>
    </w:p>
    <w:p>
      <w:pPr>
        <w:pStyle w:val="ListBullet"/>
        <w:spacing w:after="50"/>
      </w:pPr>
      <w:r>
        <w:t>CC Madhya 18.6–13: He bathes, glorifies the kuṇḍa as uniquely dear because Rādhā is uniquely dear to Kṛṣṇa, remembers its nitya-līlā and dances on the bank.</w:t>
      </w:r>
    </w:p>
    <w:p>
      <w:pPr>
        <w:pStyle w:val="ListBullet"/>
        <w:spacing w:after="50"/>
      </w:pPr>
      <w:r>
        <w:t>CC Madhya 18.14: He makes tilaka from the kuṇḍa’s earth and carries some earth onward; this is a primary pilgrimage-practice anchor.</w:t>
      </w:r>
    </w:p>
    <w:p>
      <w:pPr>
        <w:pStyle w:val="ListBullet"/>
        <w:spacing w:after="50"/>
      </w:pPr>
      <w:r>
        <w:t>CC Madhya 18.15: His route continues from Rādhā-kuṇḍa toward Sumanas-sarovara and Govardhana. Keep this Caitanya route distinct from the Rādhā-Kṛṣṇa nitya-līlā route.</w:t>
      </w:r>
    </w:p>
    <w:p>
      <w:pPr>
        <w:pStyle w:val="Heading1"/>
        <w:keepNext/>
        <w:spacing w:after="50"/>
      </w:pPr>
      <w:r>
        <w:t>26. Raghunātha dāsa — residence, restoration and the first kuṭīra memory</w:t>
      </w:r>
    </w:p>
    <w:p>
      <w:pPr>
        <w:spacing w:after="50"/>
        <w:ind w:left="403" w:right="259"/>
      </w:pPr>
      <w:r>
        <w:rPr>
          <w:i/>
          <w:sz w:val="18"/>
        </w:rPr>
        <w:t>sva-kuṇḍaṁ tava lolākṣi / sa-priyāyāḥ sadāspadam | atraiva mama saṁvāsa / ihaiva mama saṁsthitiḥ ||97||</w:t>
      </w:r>
    </w:p>
    <w:p>
      <w:pPr>
        <w:spacing w:after="50"/>
        <w:ind w:left="403" w:right="259"/>
      </w:pPr>
      <w:r>
        <w:rPr>
          <w:sz w:val="17"/>
        </w:rPr>
        <w:t>Translation: O restless-eyed one, Your own kuṇḍa is the eternal abode of You together with Your beloved. Here alone shall be my residence; here alone shall be my abiding place.</w:t>
      </w:r>
    </w:p>
    <w:p>
      <w:pPr>
        <w:spacing w:after="50"/>
        <w:ind w:left="403"/>
      </w:pPr>
      <w:r>
        <w:rPr>
          <w:b/>
          <w:sz w:val="16"/>
        </w:rPr>
        <w:t>Raghunātha dāsa Gosvāmī, Vilāpa-kusumāñjali 97</w:t>
      </w:r>
      <w:r>
        <w:rPr>
          <w:i/>
          <w:sz w:val="16"/>
        </w:rPr>
        <w:t xml:space="preserve"> — A-level anchor for Rādhā-kuṇḍa-centered bhajana</w:t>
      </w:r>
    </w:p>
    <w:p>
      <w:pPr>
        <w:pStyle w:val="ListBullet"/>
        <w:spacing w:after="50"/>
      </w:pPr>
      <w:r>
        <w:t>Bhakti-ratnākara 5.530–531 explicitly remembers the transition from paddy fields to water-filled twin kuṇḍas.</w:t>
      </w:r>
    </w:p>
    <w:p>
      <w:pPr>
        <w:pStyle w:val="ListBullet"/>
        <w:spacing w:after="50"/>
      </w:pPr>
      <w:r>
        <w:t>BR 5.532–544: Raghunātha desires the kuṇḍas restored but recoils from pursuing wealth; an unnamed wealthy pilgrim receives a dream command at Badarikāśrama and brings funds to Āriṭ-grāma. Do not assign the donor a personal name without another source.</w:t>
      </w:r>
    </w:p>
    <w:p>
      <w:pPr>
        <w:pStyle w:val="ListBullet"/>
        <w:spacing w:after="50"/>
      </w:pPr>
      <w:r>
        <w:t>BR 5.545 uses paṅkoddhāra, removal of mud/silt; BR 5.546–547 then says many laborers were engaged and the two kuṇḍas were khodāila, caused to be dug/excavated. Preferred wording: major desilting and excavation/restoration, not “Raghunātha created Rādhā-kuṇḍa.”</w:t>
      </w:r>
    </w:p>
    <w:p>
      <w:pPr>
        <w:pStyle w:val="ListBullet"/>
        <w:spacing w:after="50"/>
      </w:pPr>
      <w:r>
        <w:t>BR 5.549–553: the five Pāṇḍavas appear as trees at Mānasa-pāvana; Raghunātha forbids their cutting, and this becomes the B-level traditional explanation for Śyāma-kuṇḍa’s non-square form. Do not turn this into an archaeological conclusion without D evidence.</w:t>
      </w:r>
    </w:p>
    <w:p>
      <w:pPr>
        <w:pStyle w:val="ListBullet"/>
        <w:spacing w:after="50"/>
      </w:pPr>
      <w:r>
        <w:t>BR 5.554–561: Raghunātha initially remains under a tree; after Sanātana sees a tiger pass nearby, he urges Raghunātha to accept a kuṭīra. This is B-level textual foundation for the bhajana-kuṭīra tradition, but not proof that a surviving structure occupies the original footprint.</w:t>
      </w:r>
    </w:p>
    <w:p>
      <w:pPr>
        <w:pStyle w:val="Heading1"/>
        <w:keepNext/>
        <w:spacing w:after="50"/>
      </w:pPr>
      <w:r>
        <w:t>27. Raghunātha → Jīva property/documentary tradition — controlling cautions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blHeader w:val="true"/>
          <w:tblHeader w:val="true"/>
          <w:tblHeader w:val="true"/>
        </w:trPr>
        <w:tc>
          <w:tcPr>
            <w:tcW w:type="dxa" w:w="2541"/>
            <w:vAlign w:val="top"/>
            <w:shd w:fill="E9EEF5"/>
          </w:tcPr>
          <w:p>
            <w:pPr>
              <w:spacing w:after="0"/>
            </w:pPr>
            <w:r/>
            <w:r>
              <w:rPr>
                <w:b/>
                <w:sz w:val="17"/>
              </w:rPr>
              <w:t>Issue</w:t>
            </w:r>
          </w:p>
        </w:tc>
        <w:tc>
          <w:tcPr>
            <w:tcW w:type="dxa" w:w="2541"/>
            <w:vAlign w:val="top"/>
            <w:shd w:fill="E9EEF5"/>
          </w:tcPr>
          <w:p>
            <w:pPr>
              <w:spacing w:after="0"/>
            </w:pPr>
            <w:r/>
            <w:r>
              <w:rPr>
                <w:b/>
                <w:sz w:val="17"/>
              </w:rPr>
              <w:t>Published/reproduced claim</w:t>
            </w:r>
          </w:p>
        </w:tc>
        <w:tc>
          <w:tcPr>
            <w:tcW w:type="dxa" w:w="2541"/>
            <w:vAlign w:val="top"/>
            <w:shd w:fill="E9EEF5"/>
          </w:tcPr>
          <w:p>
            <w:pPr>
              <w:spacing w:after="0"/>
            </w:pPr>
            <w:r/>
            <w:r>
              <w:rPr>
                <w:b/>
                <w:sz w:val="17"/>
              </w:rPr>
              <w:t>Current ruling</w:t>
            </w:r>
          </w:p>
        </w:tc>
        <w:tc>
          <w:tcPr>
            <w:tcW w:type="dxa" w:w="2541"/>
            <w:vAlign w:val="top"/>
            <w:shd w:fill="E9EEF5"/>
          </w:tcPr>
          <w:p>
            <w:pPr>
              <w:spacing w:after="0"/>
            </w:pPr>
            <w:r/>
            <w:r>
              <w:rPr>
                <w:b/>
                <w:sz w:val="17"/>
              </w:rPr>
              <w:t>Next verification</w:t>
            </w:r>
          </w:p>
        </w:tc>
      </w:tr>
      <w:tr>
        <w:trPr>
          <w:cantSplit/>
        </w:trPr>
        <w:tc>
          <w:tcPr>
            <w:tcW w:type="dxa" w:w="2541"/>
            <w:vAlign w:val="top"/>
          </w:tcPr>
          <w:p>
            <w:pPr>
              <w:spacing w:after="0"/>
            </w:pPr>
            <w:r/>
            <w:r>
              <w:rPr>
                <w:b w:val="0"/>
                <w:sz w:val="15"/>
              </w:rPr>
              <w:t>Date</w:t>
            </w:r>
          </w:p>
        </w:tc>
        <w:tc>
          <w:tcPr>
            <w:tcW w:type="dxa" w:w="2541"/>
            <w:vAlign w:val="top"/>
          </w:tcPr>
          <w:p>
            <w:pPr>
              <w:spacing w:after="0"/>
            </w:pPr>
            <w:r/>
            <w:r>
              <w:rPr>
                <w:b w:val="0"/>
                <w:sz w:val="15"/>
              </w:rPr>
              <w:t>Modern prose gives 1576 CE; reproduced deed gives 7 Rajab 996 AH.</w:t>
            </w:r>
          </w:p>
        </w:tc>
        <w:tc>
          <w:tcPr>
            <w:tcW w:type="dxa" w:w="2541"/>
            <w:vAlign w:val="top"/>
          </w:tcPr>
          <w:p>
            <w:pPr>
              <w:spacing w:after="0"/>
            </w:pPr>
            <w:r/>
            <w:r>
              <w:rPr>
                <w:b w:val="0"/>
                <w:sz w:val="15"/>
              </w:rPr>
              <w:t>Conflict retained. 996 AH is roughly 1587–88 CE, not 1576.</w:t>
            </w:r>
          </w:p>
        </w:tc>
        <w:tc>
          <w:tcPr>
            <w:tcW w:type="dxa" w:w="2541"/>
            <w:vAlign w:val="top"/>
          </w:tcPr>
          <w:p>
            <w:pPr>
              <w:spacing w:after="0"/>
            </w:pPr>
            <w:r/>
            <w:r>
              <w:rPr>
                <w:b w:val="0"/>
                <w:sz w:val="15"/>
              </w:rPr>
              <w:t>Check original Persian date, calendar conversion and archival provenance.</w:t>
            </w:r>
          </w:p>
        </w:tc>
      </w:tr>
      <w:tr>
        <w:trPr>
          <w:cantSplit/>
        </w:trPr>
        <w:tc>
          <w:tcPr>
            <w:tcW w:type="dxa" w:w="2541"/>
            <w:vAlign w:val="top"/>
          </w:tcPr>
          <w:p>
            <w:pPr>
              <w:spacing w:after="0"/>
            </w:pPr>
            <w:r/>
            <w:r>
              <w:rPr>
                <w:b w:val="0"/>
                <w:sz w:val="15"/>
              </w:rPr>
              <w:t>Object transferred</w:t>
            </w:r>
          </w:p>
        </w:tc>
        <w:tc>
          <w:tcPr>
            <w:tcW w:type="dxa" w:w="2541"/>
            <w:vAlign w:val="top"/>
          </w:tcPr>
          <w:p>
            <w:pPr>
              <w:spacing w:after="0"/>
            </w:pPr>
            <w:r/>
            <w:r>
              <w:rPr>
                <w:b w:val="0"/>
                <w:sz w:val="15"/>
              </w:rPr>
              <w:t>English summary speaks broadly of “the lakes of Arit.”</w:t>
            </w:r>
          </w:p>
        </w:tc>
        <w:tc>
          <w:tcPr>
            <w:tcW w:type="dxa" w:w="2541"/>
            <w:vAlign w:val="top"/>
          </w:tcPr>
          <w:p>
            <w:pPr>
              <w:spacing w:after="0"/>
            </w:pPr>
            <w:r/>
            <w:r>
              <w:rPr>
                <w:b w:val="0"/>
                <w:sz w:val="15"/>
              </w:rPr>
              <w:t>Transliteration appears to refer to six parcels/plots of land around a tank (aṭrāf talāv), not automatically ownership of both sacred waters.</w:t>
            </w:r>
          </w:p>
        </w:tc>
        <w:tc>
          <w:tcPr>
            <w:tcW w:type="dxa" w:w="2541"/>
            <w:vAlign w:val="top"/>
          </w:tcPr>
          <w:p>
            <w:pPr>
              <w:spacing w:after="0"/>
            </w:pPr>
            <w:r/>
            <w:r>
              <w:rPr>
                <w:b w:val="0"/>
                <w:sz w:val="15"/>
              </w:rPr>
              <w:t>Read original legal description and boundaries.</w:t>
            </w:r>
          </w:p>
        </w:tc>
      </w:tr>
      <w:tr>
        <w:trPr>
          <w:cantSplit/>
        </w:trPr>
        <w:tc>
          <w:tcPr>
            <w:tcW w:type="dxa" w:w="2541"/>
            <w:vAlign w:val="top"/>
          </w:tcPr>
          <w:p>
            <w:pPr>
              <w:spacing w:after="0"/>
            </w:pPr>
            <w:r/>
            <w:r>
              <w:rPr>
                <w:b w:val="0"/>
                <w:sz w:val="15"/>
              </w:rPr>
              <w:t>Price</w:t>
            </w:r>
          </w:p>
        </w:tc>
        <w:tc>
          <w:tcPr>
            <w:tcW w:type="dxa" w:w="2541"/>
            <w:vAlign w:val="top"/>
          </w:tcPr>
          <w:p>
            <w:pPr>
              <w:spacing w:after="0"/>
            </w:pPr>
            <w:r/>
            <w:r>
              <w:rPr>
                <w:b w:val="0"/>
                <w:sz w:val="15"/>
              </w:rPr>
              <w:t>238 rupees.</w:t>
            </w:r>
          </w:p>
        </w:tc>
        <w:tc>
          <w:tcPr>
            <w:tcW w:type="dxa" w:w="2541"/>
            <w:vAlign w:val="top"/>
          </w:tcPr>
          <w:p>
            <w:pPr>
              <w:spacing w:after="0"/>
            </w:pPr>
            <w:r/>
            <w:r>
              <w:rPr>
                <w:b w:val="0"/>
                <w:sz w:val="15"/>
              </w:rPr>
              <w:t>Preserve figure as part of reproduced deed tradition, not yet authenticated primary fact.</w:t>
            </w:r>
          </w:p>
        </w:tc>
        <w:tc>
          <w:tcPr>
            <w:tcW w:type="dxa" w:w="2541"/>
            <w:vAlign w:val="top"/>
          </w:tcPr>
          <w:p>
            <w:pPr>
              <w:spacing w:after="0"/>
            </w:pPr>
            <w:r/>
            <w:r>
              <w:rPr>
                <w:b w:val="0"/>
                <w:sz w:val="15"/>
              </w:rPr>
              <w:t>Verify currency wording and transaction context.</w:t>
            </w:r>
          </w:p>
        </w:tc>
      </w:tr>
      <w:tr>
        <w:trPr>
          <w:cantSplit/>
        </w:trPr>
        <w:tc>
          <w:tcPr>
            <w:tcW w:type="dxa" w:w="2541"/>
            <w:vAlign w:val="top"/>
          </w:tcPr>
          <w:p>
            <w:pPr>
              <w:spacing w:after="0"/>
            </w:pPr>
            <w:r/>
            <w:r>
              <w:rPr>
                <w:b w:val="0"/>
                <w:sz w:val="15"/>
              </w:rPr>
              <w:t>Legal form</w:t>
            </w:r>
          </w:p>
        </w:tc>
        <w:tc>
          <w:tcPr>
            <w:tcW w:type="dxa" w:w="2541"/>
            <w:vAlign w:val="top"/>
          </w:tcPr>
          <w:p>
            <w:pPr>
              <w:spacing w:after="0"/>
            </w:pPr>
            <w:r/>
            <w:r>
              <w:rPr>
                <w:b w:val="0"/>
                <w:sz w:val="15"/>
              </w:rPr>
              <w:t>Heading calls it hibānāma/gift; body reportedly uses sale/payment language.</w:t>
            </w:r>
          </w:p>
        </w:tc>
        <w:tc>
          <w:tcPr>
            <w:tcW w:type="dxa" w:w="2541"/>
            <w:vAlign w:val="top"/>
          </w:tcPr>
          <w:p>
            <w:pPr>
              <w:spacing w:after="0"/>
            </w:pPr>
            <w:r/>
            <w:r>
              <w:rPr>
                <w:b w:val="0"/>
                <w:sz w:val="15"/>
              </w:rPr>
              <w:t>Gift-versus-sale contradiction remains open.</w:t>
            </w:r>
          </w:p>
        </w:tc>
        <w:tc>
          <w:tcPr>
            <w:tcW w:type="dxa" w:w="2541"/>
            <w:vAlign w:val="top"/>
          </w:tcPr>
          <w:p>
            <w:pPr>
              <w:spacing w:after="0"/>
            </w:pPr>
            <w:r/>
            <w:r>
              <w:rPr>
                <w:b w:val="0"/>
                <w:sz w:val="15"/>
              </w:rPr>
              <w:t>Check Persian verbs/formulae in original.</w:t>
            </w:r>
          </w:p>
        </w:tc>
      </w:tr>
      <w:tr>
        <w:trPr>
          <w:cantSplit/>
        </w:trPr>
        <w:tc>
          <w:tcPr>
            <w:tcW w:type="dxa" w:w="2541"/>
            <w:vAlign w:val="top"/>
          </w:tcPr>
          <w:p>
            <w:pPr>
              <w:spacing w:after="0"/>
            </w:pPr>
            <w:r/>
            <w:r>
              <w:rPr>
                <w:b w:val="0"/>
                <w:sz w:val="15"/>
              </w:rPr>
              <w:t>Raghunātha → Jīva</w:t>
            </w:r>
          </w:p>
        </w:tc>
        <w:tc>
          <w:tcPr>
            <w:tcW w:type="dxa" w:w="2541"/>
            <w:vAlign w:val="top"/>
          </w:tcPr>
          <w:p>
            <w:pPr>
              <w:spacing w:after="0"/>
            </w:pPr>
            <w:r/>
            <w:r>
              <w:rPr>
                <w:b w:val="0"/>
                <w:sz w:val="15"/>
              </w:rPr>
              <w:t>Modern source reproduces transfer to Jīva Gosvāmī.</w:t>
            </w:r>
          </w:p>
        </w:tc>
        <w:tc>
          <w:tcPr>
            <w:tcW w:type="dxa" w:w="2541"/>
            <w:vAlign w:val="top"/>
          </w:tcPr>
          <w:p>
            <w:pPr>
              <w:spacing w:after="0"/>
            </w:pPr>
            <w:r/>
            <w:r>
              <w:rPr>
                <w:b w:val="0"/>
                <w:sz w:val="15"/>
              </w:rPr>
              <w:t>D-candidate preserved through later publication; potentially important institutional/property bridge.</w:t>
            </w:r>
          </w:p>
        </w:tc>
        <w:tc>
          <w:tcPr>
            <w:tcW w:type="dxa" w:w="2541"/>
            <w:vAlign w:val="top"/>
          </w:tcPr>
          <w:p>
            <w:pPr>
              <w:spacing w:after="0"/>
            </w:pPr>
            <w:r/>
            <w:r>
              <w:rPr>
                <w:b w:val="0"/>
                <w:sz w:val="15"/>
              </w:rPr>
              <w:t>Locate deed/original or reliable diplomatic transcription.</w:t>
            </w:r>
          </w:p>
        </w:tc>
      </w:tr>
      <w:tr>
        <w:trPr>
          <w:cantSplit/>
        </w:trPr>
        <w:tc>
          <w:tcPr>
            <w:tcW w:type="dxa" w:w="2541"/>
            <w:vAlign w:val="top"/>
          </w:tcPr>
          <w:p>
            <w:pPr>
              <w:spacing w:after="0"/>
            </w:pPr>
            <w:r/>
            <w:r>
              <w:rPr>
                <w:b w:val="0"/>
                <w:sz w:val="15"/>
              </w:rPr>
              <w:t>1721–22 orders</w:t>
            </w:r>
          </w:p>
        </w:tc>
        <w:tc>
          <w:tcPr>
            <w:tcW w:type="dxa" w:w="2541"/>
            <w:vAlign w:val="top"/>
          </w:tcPr>
          <w:p>
            <w:pPr>
              <w:spacing w:after="0"/>
            </w:pPr>
            <w:r/>
            <w:r>
              <w:rPr>
                <w:b w:val="0"/>
                <w:sz w:val="15"/>
              </w:rPr>
              <w:t>Later reproduced administrative orders remember Jīva ownership and lakes/gardens.</w:t>
            </w:r>
          </w:p>
        </w:tc>
        <w:tc>
          <w:tcPr>
            <w:tcW w:type="dxa" w:w="2541"/>
            <w:vAlign w:val="top"/>
          </w:tcPr>
          <w:p>
            <w:pPr>
              <w:spacing w:after="0"/>
            </w:pPr>
            <w:r/>
            <w:r>
              <w:rPr>
                <w:b w:val="0"/>
                <w:sz w:val="15"/>
              </w:rPr>
              <w:t>Strong documentary tradition, still verification-pending.</w:t>
            </w:r>
          </w:p>
        </w:tc>
        <w:tc>
          <w:tcPr>
            <w:tcW w:type="dxa" w:w="2541"/>
            <w:vAlign w:val="top"/>
          </w:tcPr>
          <w:p>
            <w:pPr>
              <w:spacing w:after="0"/>
            </w:pPr>
            <w:r/>
            <w:r>
              <w:rPr>
                <w:b w:val="0"/>
                <w:sz w:val="15"/>
              </w:rPr>
              <w:t>Obtain originals/transcriptions and reconcile with BR’s Raghunātha excavation narrative.</w:t>
            </w:r>
          </w:p>
        </w:tc>
      </w:tr>
      <w:tr>
        <w:trPr>
          <w:cantSplit/>
        </w:trPr>
        <w:tc>
          <w:tcPr>
            <w:tcW w:type="dxa" w:w="2541"/>
            <w:vAlign w:val="top"/>
          </w:tcPr>
          <w:p>
            <w:pPr>
              <w:spacing w:after="0"/>
            </w:pPr>
            <w:r/>
            <w:r>
              <w:rPr>
                <w:b w:val="0"/>
                <w:sz w:val="15"/>
              </w:rPr>
              <w:t>1637 record</w:t>
            </w:r>
          </w:p>
        </w:tc>
        <w:tc>
          <w:tcPr>
            <w:tcW w:type="dxa" w:w="2541"/>
            <w:vAlign w:val="top"/>
          </w:tcPr>
          <w:p>
            <w:pPr>
              <w:spacing w:after="0"/>
            </w:pPr>
            <w:r/>
            <w:r>
              <w:rPr>
                <w:b w:val="0"/>
                <w:sz w:val="15"/>
              </w:rPr>
              <w:t>Entwistle reports a Bansal-transcribed document naming Raghunātha and Kṛṣṇadāsa dwellings and other establishments.</w:t>
            </w:r>
          </w:p>
        </w:tc>
        <w:tc>
          <w:tcPr>
            <w:tcW w:type="dxa" w:w="2541"/>
            <w:vAlign w:val="top"/>
          </w:tcPr>
          <w:p>
            <w:pPr>
              <w:spacing w:after="0"/>
            </w:pPr>
            <w:r/>
            <w:r>
              <w:rPr>
                <w:b w:val="0"/>
                <w:sz w:val="15"/>
              </w:rPr>
              <w:t>D-secondary report; do not claim we have read the original document.</w:t>
            </w:r>
          </w:p>
        </w:tc>
        <w:tc>
          <w:tcPr>
            <w:tcW w:type="dxa" w:w="2541"/>
            <w:vAlign w:val="top"/>
          </w:tcPr>
          <w:p>
            <w:pPr>
              <w:spacing w:after="0"/>
            </w:pPr>
            <w:r/>
            <w:r>
              <w:rPr>
                <w:b w:val="0"/>
                <w:sz w:val="15"/>
              </w:rPr>
              <w:t>Locate Bansal transcription and full bibliography.</w:t>
            </w:r>
          </w:p>
        </w:tc>
      </w:tr>
      <w:tr>
        <w:trPr>
          <w:cantSplit/>
        </w:trPr>
        <w:tc>
          <w:tcPr>
            <w:tcW w:type="dxa" w:w="2541"/>
            <w:vAlign w:val="top"/>
          </w:tcPr>
          <w:p>
            <w:pPr>
              <w:spacing w:after="0"/>
            </w:pPr>
            <w:r/>
            <w:r>
              <w:rPr>
                <w:b w:val="0"/>
                <w:sz w:val="15"/>
              </w:rPr>
              <w:t>1842 agreement</w:t>
            </w:r>
          </w:p>
        </w:tc>
        <w:tc>
          <w:tcPr>
            <w:tcW w:type="dxa" w:w="2541"/>
            <w:vAlign w:val="top"/>
          </w:tcPr>
          <w:p>
            <w:pPr>
              <w:spacing w:after="0"/>
            </w:pPr>
            <w:r/>
            <w:r>
              <w:rPr>
                <w:b w:val="0"/>
                <w:sz w:val="15"/>
              </w:rPr>
              <w:t>Later legal tradition protects water/drainage and trees.</w:t>
            </w:r>
          </w:p>
        </w:tc>
        <w:tc>
          <w:tcPr>
            <w:tcW w:type="dxa" w:w="2541"/>
            <w:vAlign w:val="top"/>
          </w:tcPr>
          <w:p>
            <w:pPr>
              <w:spacing w:after="0"/>
            </w:pPr>
            <w:r/>
            <w:r>
              <w:rPr>
                <w:b w:val="0"/>
                <w:sz w:val="15"/>
              </w:rPr>
              <w:t>Relevant to RK-05 water-management history, not yet fully audited.</w:t>
            </w:r>
          </w:p>
        </w:tc>
        <w:tc>
          <w:tcPr>
            <w:tcW w:type="dxa" w:w="2541"/>
            <w:vAlign w:val="top"/>
          </w:tcPr>
          <w:p>
            <w:pPr>
              <w:spacing w:after="0"/>
            </w:pPr>
            <w:r/>
            <w:r>
              <w:rPr>
                <w:b w:val="0"/>
                <w:sz w:val="15"/>
              </w:rPr>
              <w:t>Verify text, parties and physical area.</w:t>
            </w:r>
          </w:p>
        </w:tc>
      </w:tr>
    </w:tbl>
    <w:p>
      <w:pPr>
        <w:pStyle w:val="Heading1"/>
        <w:keepNext/>
        <w:spacing w:after="50"/>
      </w:pPr>
      <w:r>
        <w:t>28. Jīva Gosvāmī — institutional and transmission stewardship</w:t>
      </w:r>
    </w:p>
    <w:p>
      <w:pPr>
        <w:pStyle w:val="ListBullet"/>
        <w:spacing w:after="50"/>
      </w:pPr>
      <w:r>
        <w:t>Bhakti-ratnākara’s early narrative normally places Jīva as a Vṛndāvana resident. Permanent residence at Rādhā-kuṇḍa has not been established from an early source.</w:t>
      </w:r>
    </w:p>
    <w:p>
      <w:pPr>
        <w:pStyle w:val="ListBullet"/>
        <w:spacing w:after="50"/>
      </w:pPr>
      <w:r>
        <w:t>Jīva sends Śrīnivāsa from Vṛndāvana to Śrī-kuṇḍa, where Raghunātha dāsa, Rāghava, Kṛṣṇadāsa Kavirāja and others receive him. Śrīnivāsa stays three days at Rādhā-kuṇḍa/Govardhana and returns; formal study then begins after the seniors’ permission.</w:t>
      </w:r>
    </w:p>
    <w:p>
      <w:pPr>
        <w:pStyle w:val="ListBullet"/>
        <w:spacing w:after="50"/>
      </w:pPr>
      <w:r>
        <w:t>This establishes a strong Vṛndāvana – Rādhā-kuṇḍa institutional corridor: Jīva as teacher/textual custodian and the Rādhā-kuṇḍa elders as senior devotional authorities.</w:t>
      </w:r>
    </w:p>
    <w:p>
      <w:pPr>
        <w:pStyle w:val="ListBullet"/>
        <w:spacing w:after="50"/>
      </w:pPr>
      <w:r>
        <w:t>Later property-document tradition may indicate Jīva’s legal/institutional stewardship at Āriṭ, but the legal evidence remains D-candidate until originals are checked.</w:t>
      </w:r>
    </w:p>
    <w:p>
      <w:pPr>
        <w:pStyle w:val="ListBullet"/>
        <w:spacing w:after="50"/>
      </w:pPr>
      <w:r>
        <w:t>Present Jīva Gosvāmī Ghāṭ/baithak is C-level local sacred memory. Do not turn institutional/property connection into an early textual claim of permanent residence at the precise modern site.</w:t>
      </w:r>
    </w:p>
    <w:p>
      <w:pPr>
        <w:pStyle w:val="Heading1"/>
        <w:keepNext/>
        <w:spacing w:after="50"/>
      </w:pPr>
      <w:r>
        <w:t>29. Kṛṣṇadāsa Kavirāja — memory, literature and the Rādhā-kuṇḍa community</w:t>
      </w:r>
    </w:p>
    <w:p>
      <w:pPr>
        <w:pStyle w:val="ListBullet"/>
        <w:spacing w:after="50"/>
      </w:pPr>
      <w:r>
        <w:t>CC Ādi 5.202 is autobiographical A-level evidence that Kṛṣṇadāsa received the shelter of Raghunātha dāsa and, through him, the shelter of Svarūpa Dāmodara.</w:t>
      </w:r>
    </w:p>
    <w:p>
      <w:pPr>
        <w:pStyle w:val="ListBullet"/>
        <w:spacing w:after="50"/>
      </w:pPr>
      <w:r>
        <w:t>CC Madhya 2.84 explicitly presents a transmission chain in which the jewel-like inner Caitanya-līlā was held by Svarūpa, placed in Raghunātha’s memory/voice, and heard by Kṛṣṇadāsa, who expanded what he heard in Caitanya-caritāmṛta.</w:t>
      </w:r>
    </w:p>
    <w:p>
      <w:pPr>
        <w:pStyle w:val="ListBullet"/>
        <w:spacing w:after="50"/>
      </w:pPr>
      <w:r>
        <w:t>Bhakti-ratnākara places Kṛṣṇadāsa within the senior Rādhā-kuṇḍa circle and later shows him actively communicating with Raghunātha and Jāhnavā.</w:t>
      </w:r>
    </w:p>
    <w:p>
      <w:pPr>
        <w:pStyle w:val="ListBullet"/>
        <w:spacing w:after="50"/>
      </w:pPr>
      <w:r>
        <w:t>Govinda-līlāmṛta supplies the project’s most detailed A-level nitya-līlā geography of Rādhā-kuṇḍa, but no authorial colophon presently recovered says the work was composed at Rādhā-kuṇḍa.</w:t>
      </w:r>
    </w:p>
    <w:p>
      <w:pPr>
        <w:pStyle w:val="ListBullet"/>
        <w:spacing w:after="50"/>
      </w:pPr>
      <w:r>
        <w:t>Caitanya-caritāmṛta Antya 20.157 says the work reached completion vṛndāvanāntare, “in Vṛndāvana,” in 1615. Later Rādhā-kuṇḍa tradition specifies a Rādhā-kuṇḍa composition site; keep A-level colophon and C-level local identification distinct.</w:t>
      </w:r>
    </w:p>
    <w:p>
      <w:pPr>
        <w:pStyle w:val="ListBullet"/>
        <w:spacing w:after="50"/>
      </w:pPr>
      <w:r>
        <w:t>Entwistle reports a 1637 document naming a dwelling of Kṛṣṇadāsa Kavirāja at Rādhā-kuṇḍa. This strongly supports an identified residence/site by that date, but the underlying Bansal record still needs checking.</w:t>
      </w:r>
    </w:p>
    <w:p>
      <w:pPr>
        <w:pStyle w:val="Heading1"/>
        <w:keepNext/>
        <w:spacing w:after="50"/>
      </w:pPr>
      <w:r>
        <w:t>30. Jāhnavā Īśvarī — multi-day pilgrimage, sevā and local-memory cautions</w:t>
      </w:r>
    </w:p>
    <w:p>
      <w:pPr>
        <w:pStyle w:val="ListBullet"/>
        <w:spacing w:after="50"/>
      </w:pPr>
      <w:r>
        <w:t>Bhakti-ratnākara 11.150–189 is the controlling B-level episode. The working Romanized transcription is identified securely, but final publication still requires checking these verses against a printed Bengali witness.</w:t>
      </w:r>
    </w:p>
    <w:p>
      <w:pPr>
        <w:pStyle w:val="ListBullet"/>
        <w:spacing w:after="50"/>
      </w:pPr>
      <w:r>
        <w:t>Raghunātha, explicitly a resident of Rādhikā-kuṇḍa in the episode, is too weak to travel to Jāhnavā; Kṛṣṇadāsa Kavirāja functions as a messenger within the Rādhā-kuṇḍa community.</w:t>
      </w:r>
    </w:p>
    <w:p>
      <w:pPr>
        <w:pStyle w:val="ListBullet"/>
        <w:spacing w:after="50"/>
      </w:pPr>
      <w:r>
        <w:t>The route is Vṛndāvana → Bahulāvana → Rādhā-kuṇḍa; Jāhnavā remains at the kuṇḍa for three or four days, cooks/offers food, and feeds Vrajavāsīs and Vaiṣṇavas before continuing toward Govardhana.</w:t>
      </w:r>
    </w:p>
    <w:p>
      <w:pPr>
        <w:pStyle w:val="ListBullet"/>
        <w:spacing w:after="50"/>
      </w:pPr>
      <w:r>
        <w:t>At midday on the kuṇḍa bank she experiences a vision of Śyāmasundara with Rādhā, Lalitā and the sakhīs beneath a kadamba tree. This is B-level devotional historiography and a major intersection between pilgrimage history and nitya-līlā vision.</w:t>
      </w:r>
    </w:p>
    <w:p>
      <w:pPr>
        <w:pStyle w:val="ListBullet"/>
        <w:spacing w:after="50"/>
      </w:pPr>
      <w:r>
        <w:t>Later/local tradition places Jāhnavā Ghāṭ/baithak on the northern bank under an ancient bakula; other retellings sometimes say tamāla. Do not harmonize: BR’s working reading is kadamba.</w:t>
      </w:r>
    </w:p>
    <w:p>
      <w:pPr>
        <w:pStyle w:val="ListBullet"/>
        <w:spacing w:after="50"/>
      </w:pPr>
      <w:r>
        <w:t>The Jāhnavā/Anaṅga Mañjarī identification must retain the variant tradition in which Vasudhā is also identified with Anaṅga Mañjarī. Do not claim that the modern northern ghāṭ directly derives from GL’s Anaṅga Mañjarī northern-bridge geography without a historical source chain.</w:t>
      </w:r>
    </w:p>
    <w:p>
      <w:pPr>
        <w:pStyle w:val="Heading1"/>
        <w:keepNext/>
        <w:spacing w:after="50"/>
      </w:pPr>
      <w:r>
        <w:t>31. Śrīnivāsa and Narottama — two distinct visits and a text-guided parikramā</w:t>
      </w:r>
    </w:p>
    <w:p>
      <w:pPr>
        <w:spacing w:after="50"/>
        <w:ind w:left="403" w:right="259"/>
      </w:pPr>
      <w:r>
        <w:rPr>
          <w:i/>
          <w:sz w:val="18"/>
        </w:rPr>
        <w:t>ahe śrīnivāsa, e niścaya jñāna cite | rādhākuṇḍavāsa raghunāthakṛpā haite ||582||</w:t>
      </w:r>
    </w:p>
    <w:p>
      <w:pPr>
        <w:spacing w:after="50"/>
        <w:ind w:left="403" w:right="259"/>
      </w:pPr>
      <w:r>
        <w:rPr>
          <w:sz w:val="17"/>
        </w:rPr>
        <w:t>Translation: O Śrīnivāsa, know this certainly in your heart: residence at Rādhā-kuṇḍa comes through the mercy of Raghunātha.</w:t>
      </w:r>
    </w:p>
    <w:p>
      <w:pPr>
        <w:spacing w:after="50"/>
        <w:ind w:left="403"/>
      </w:pPr>
      <w:r>
        <w:rPr>
          <w:b/>
          <w:sz w:val="16"/>
        </w:rPr>
        <w:t>Narahari Cakravartī, Bhakti-ratnākara 5.582</w:t>
      </w:r>
      <w:r>
        <w:rPr>
          <w:i/>
          <w:sz w:val="16"/>
        </w:rPr>
        <w:t xml:space="preserve"> — B-level early pilgrimage theology of Rādhā-kuṇḍa-vāsa</w:t>
      </w:r>
    </w:p>
    <w:p>
      <w:pPr>
        <w:pStyle w:val="ListBullet"/>
        <w:spacing w:after="50"/>
      </w:pPr>
      <w:r>
        <w:t>Episode 1: before formal study, Jīva sends Śrīnivāsa to the Rādhā-kuṇḍa/Govardhana senior community for a three-day visit and blessing. Narottama is not part of this episode.</w:t>
      </w:r>
    </w:p>
    <w:p>
      <w:pPr>
        <w:pStyle w:val="ListBullet"/>
        <w:spacing w:after="50"/>
      </w:pPr>
      <w:r>
        <w:t>Episode 2: Śrīnivāsa later returns with Narottama, guided by Rāghava Paṇḍita through a micro-parikramā of the twin-kuṇḍa landscape. These must remain separate events in future chronology.</w:t>
      </w:r>
    </w:p>
    <w:p>
      <w:pPr>
        <w:pStyle w:val="ListBullet"/>
        <w:spacing w:after="50"/>
      </w:pPr>
      <w:r>
        <w:t>BR 5.583–588: Rāghava points out Raghunātha’s famous sevā objects, the twin-kuṇḍa meeting, Mālyahāri-kuṇḍa, Śivakhora and Bhānukhora; for Mālyahāri he explicitly directs the pilgrims to Raghunātha’s Muktā-caritra. This is a major early example of text-guided pilgrimage interpretation.</w:t>
      </w:r>
    </w:p>
    <w:p>
      <w:pPr>
        <w:pStyle w:val="ListBullet"/>
        <w:spacing w:after="50"/>
      </w:pPr>
      <w:r>
        <w:t>BR 5.590–597: the extremely weak Raghunātha rises and embraces Śrīnivāsa and Narottama; Kṛṣṇadāsa and other Vaiṣṇavas on the kuṇḍa bank join the encounter. This is B-level evidence for a broader bank-side Vaiṣṇava community.</w:t>
      </w:r>
    </w:p>
    <w:p>
      <w:pPr>
        <w:pStyle w:val="ListBullet"/>
        <w:spacing w:after="50"/>
      </w:pPr>
      <w:r>
        <w:t>BR 5.598–601: Śrīnivāsa and Narottama bathe at Mānasa-pāvana in prema. BR places Subala’s kuñja north of Śyāma-kuṇḍa; GL’s nitya-līlā geography uses the north-west/Vāyu direction. Preserve the difference as two map layers.</w:t>
      </w:r>
    </w:p>
    <w:p>
      <w:pPr>
        <w:pStyle w:val="ListBullet"/>
        <w:spacing w:after="50"/>
      </w:pPr>
      <w:r>
        <w:t>BR 5.602 explicitly mentions Gopāla Bhaṭṭa Gosvāmī’s kuṭīra, upgrading the existence of such a kuṭīra from later-local C-only to B-level pilgrimage attestation. The present physical footprint remains C/D-open.</w:t>
      </w:r>
    </w:p>
    <w:p>
      <w:pPr>
        <w:pStyle w:val="ListBullet"/>
        <w:spacing w:after="50"/>
      </w:pPr>
      <w:r>
        <w:t>BR 5.603–606 continues from Rādhā-kuṇḍa to Mukharāi and then the Govardhana landscape. This is a B-level continuous pilgrimage route, distinct from the aṣṭa-kālīya route in RK-02.</w:t>
      </w:r>
    </w:p>
    <w:p>
      <w:pPr>
        <w:pStyle w:val="ListBullet"/>
        <w:spacing w:after="50"/>
      </w:pPr>
      <w:r>
        <w:t>Narottama is securely established as a major pilgrim/transmitter in the Rādhā-kuṇḍa narrative. Permanent personal residence at the kuṇḍa has not yet been established from an early/self-authored source.</w:t>
      </w:r>
    </w:p>
    <w:p>
      <w:pPr>
        <w:pStyle w:val="Heading1"/>
        <w:keepNext/>
        <w:spacing w:after="50"/>
      </w:pPr>
      <w:r>
        <w:t>32. Historical synthesis now permitted — with explicit source-layer limits</w:t>
      </w:r>
    </w:p>
    <w:p>
      <w:pPr>
        <w:spacing w:after="50"/>
      </w:pPr>
      <w:r>
        <w:t>A coherent early Gauḍīya history can now be stated as a labeled synthesis: Mahāprabhu reidentifies an obscured tīrtha; Raghunātha makes it the center of resident Rādhā-dāsya and is later remembered as directing major restoration; Jīva links the community to Vṛndāvana’s teaching/manuscript institutions; Kṛṣṇadāsa converts Raghunātha/Svarūpa memory and the Rādhā-kuṇḍa rasa landscape into foundational literature; Jāhnavā makes it a transregional leadership/pilgrimage destination; and Rāghava, Śrīnivāsa and Narottama show a mature text-guided sacred landscape. This synthesis does not erase the different dates or genres of the witnesses.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val="true"/>
          <w:tblHeader w:val="true"/>
        </w:trPr>
        <w:tc>
          <w:tcPr>
            <w:tcW w:type="dxa" w:w="3389"/>
            <w:vAlign w:val="top"/>
            <w:shd w:fill="E9EEF5"/>
          </w:tcPr>
          <w:p>
            <w:pPr>
              <w:spacing w:after="0"/>
            </w:pPr>
            <w:r/>
            <w:r>
              <w:rPr>
                <w:b/>
                <w:sz w:val="17"/>
              </w:rPr>
              <w:t>Historical role</w:t>
            </w:r>
          </w:p>
        </w:tc>
        <w:tc>
          <w:tcPr>
            <w:tcW w:type="dxa" w:w="3389"/>
            <w:vAlign w:val="top"/>
            <w:shd w:fill="E9EEF5"/>
          </w:tcPr>
          <w:p>
            <w:pPr>
              <w:spacing w:after="0"/>
            </w:pPr>
            <w:r/>
            <w:r>
              <w:rPr>
                <w:b/>
                <w:sz w:val="17"/>
              </w:rPr>
              <w:t>Strongest current evidence</w:t>
            </w:r>
          </w:p>
        </w:tc>
        <w:tc>
          <w:tcPr>
            <w:tcW w:type="dxa" w:w="3389"/>
            <w:vAlign w:val="top"/>
            <w:shd w:fill="E9EEF5"/>
          </w:tcPr>
          <w:p>
            <w:pPr>
              <w:spacing w:after="0"/>
            </w:pPr>
            <w:r/>
            <w:r>
              <w:rPr>
                <w:b/>
                <w:sz w:val="17"/>
              </w:rPr>
              <w:t>Boundary not to cross</w:t>
            </w:r>
          </w:p>
        </w:tc>
      </w:tr>
      <w:tr>
        <w:trPr>
          <w:cantSplit/>
        </w:trPr>
        <w:tc>
          <w:tcPr>
            <w:tcW w:type="dxa" w:w="3389"/>
            <w:vAlign w:val="top"/>
          </w:tcPr>
          <w:p>
            <w:pPr>
              <w:spacing w:after="0"/>
            </w:pPr>
            <w:r/>
            <w:r>
              <w:rPr>
                <w:b w:val="0"/>
                <w:sz w:val="15"/>
              </w:rPr>
              <w:t>Mahāprabhu</w:t>
            </w:r>
          </w:p>
        </w:tc>
        <w:tc>
          <w:tcPr>
            <w:tcW w:type="dxa" w:w="3389"/>
            <w:vAlign w:val="top"/>
          </w:tcPr>
          <w:p>
            <w:pPr>
              <w:spacing w:after="0"/>
            </w:pPr>
            <w:r/>
            <w:r>
              <w:rPr>
                <w:b w:val="0"/>
                <w:sz w:val="15"/>
              </w:rPr>
              <w:t>A — CC Madhya 18.3–15</w:t>
            </w:r>
          </w:p>
        </w:tc>
        <w:tc>
          <w:tcPr>
            <w:tcW w:type="dxa" w:w="3389"/>
            <w:vAlign w:val="top"/>
          </w:tcPr>
          <w:p>
            <w:pPr>
              <w:spacing w:after="0"/>
            </w:pPr>
            <w:r/>
            <w:r>
              <w:rPr>
                <w:b w:val="0"/>
                <w:sz w:val="15"/>
              </w:rPr>
              <w:t>Recognition is not excavation/construction of the present complex.</w:t>
            </w:r>
          </w:p>
        </w:tc>
      </w:tr>
      <w:tr>
        <w:trPr>
          <w:cantSplit/>
        </w:trPr>
        <w:tc>
          <w:tcPr>
            <w:tcW w:type="dxa" w:w="3389"/>
            <w:vAlign w:val="top"/>
          </w:tcPr>
          <w:p>
            <w:pPr>
              <w:spacing w:after="0"/>
            </w:pPr>
            <w:r/>
            <w:r>
              <w:rPr>
                <w:b w:val="0"/>
                <w:sz w:val="15"/>
              </w:rPr>
              <w:t>Raghunātha dāsa</w:t>
            </w:r>
          </w:p>
        </w:tc>
        <w:tc>
          <w:tcPr>
            <w:tcW w:type="dxa" w:w="3389"/>
            <w:vAlign w:val="top"/>
          </w:tcPr>
          <w:p>
            <w:pPr>
              <w:spacing w:after="0"/>
            </w:pPr>
            <w:r/>
            <w:r>
              <w:rPr>
                <w:b w:val="0"/>
                <w:sz w:val="15"/>
              </w:rPr>
              <w:t>A — own stotras; B — BR restoration/kuṭīra memory</w:t>
            </w:r>
          </w:p>
        </w:tc>
        <w:tc>
          <w:tcPr>
            <w:tcW w:type="dxa" w:w="3389"/>
            <w:vAlign w:val="top"/>
          </w:tcPr>
          <w:p>
            <w:pPr>
              <w:spacing w:after="0"/>
            </w:pPr>
            <w:r/>
            <w:r>
              <w:rPr>
                <w:b w:val="0"/>
                <w:sz w:val="15"/>
              </w:rPr>
              <w:t>BR history is later devotional historiography; modern structures still need continuity evidence.</w:t>
            </w:r>
          </w:p>
        </w:tc>
      </w:tr>
      <w:tr>
        <w:trPr>
          <w:cantSplit/>
        </w:trPr>
        <w:tc>
          <w:tcPr>
            <w:tcW w:type="dxa" w:w="3389"/>
            <w:vAlign w:val="top"/>
          </w:tcPr>
          <w:p>
            <w:pPr>
              <w:spacing w:after="0"/>
            </w:pPr>
            <w:r/>
            <w:r>
              <w:rPr>
                <w:b w:val="0"/>
                <w:sz w:val="15"/>
              </w:rPr>
              <w:t>Jīva Gosvāmī</w:t>
            </w:r>
          </w:p>
        </w:tc>
        <w:tc>
          <w:tcPr>
            <w:tcW w:type="dxa" w:w="3389"/>
            <w:vAlign w:val="top"/>
          </w:tcPr>
          <w:p>
            <w:pPr>
              <w:spacing w:after="0"/>
            </w:pPr>
            <w:r/>
            <w:r>
              <w:rPr>
                <w:b w:val="0"/>
                <w:sz w:val="15"/>
              </w:rPr>
              <w:t>B — teaching/transmission network; D-candidate property tradition</w:t>
            </w:r>
          </w:p>
        </w:tc>
        <w:tc>
          <w:tcPr>
            <w:tcW w:type="dxa" w:w="3389"/>
            <w:vAlign w:val="top"/>
          </w:tcPr>
          <w:p>
            <w:pPr>
              <w:spacing w:after="0"/>
            </w:pPr>
            <w:r/>
            <w:r>
              <w:rPr>
                <w:b w:val="0"/>
                <w:sz w:val="15"/>
              </w:rPr>
              <w:t>Institutional/property link is not proof of permanent residence at a present ghāṭ.</w:t>
            </w:r>
          </w:p>
        </w:tc>
      </w:tr>
      <w:tr>
        <w:trPr>
          <w:cantSplit/>
        </w:trPr>
        <w:tc>
          <w:tcPr>
            <w:tcW w:type="dxa" w:w="3389"/>
            <w:vAlign w:val="top"/>
          </w:tcPr>
          <w:p>
            <w:pPr>
              <w:spacing w:after="0"/>
            </w:pPr>
            <w:r/>
            <w:r>
              <w:rPr>
                <w:b w:val="0"/>
                <w:sz w:val="15"/>
              </w:rPr>
              <w:t>Kṛṣṇadāsa Kavirāja</w:t>
            </w:r>
          </w:p>
        </w:tc>
        <w:tc>
          <w:tcPr>
            <w:tcW w:type="dxa" w:w="3389"/>
            <w:vAlign w:val="top"/>
          </w:tcPr>
          <w:p>
            <w:pPr>
              <w:spacing w:after="0"/>
            </w:pPr>
            <w:r/>
            <w:r>
              <w:rPr>
                <w:b w:val="0"/>
                <w:sz w:val="15"/>
              </w:rPr>
              <w:t>A — CC autobiographical/source chain; B community; D-secondary dwelling</w:t>
            </w:r>
          </w:p>
        </w:tc>
        <w:tc>
          <w:tcPr>
            <w:tcW w:type="dxa" w:w="3389"/>
            <w:vAlign w:val="top"/>
          </w:tcPr>
          <w:p>
            <w:pPr>
              <w:spacing w:after="0"/>
            </w:pPr>
            <w:r/>
            <w:r>
              <w:rPr>
                <w:b w:val="0"/>
                <w:sz w:val="15"/>
              </w:rPr>
              <w:t>Detailed Rādhā-kuṇḍa writing does not prove composition at the current bhajana-kuṭīra.</w:t>
            </w:r>
          </w:p>
        </w:tc>
      </w:tr>
      <w:tr>
        <w:trPr>
          <w:cantSplit/>
        </w:trPr>
        <w:tc>
          <w:tcPr>
            <w:tcW w:type="dxa" w:w="3389"/>
            <w:vAlign w:val="top"/>
          </w:tcPr>
          <w:p>
            <w:pPr>
              <w:spacing w:after="0"/>
            </w:pPr>
            <w:r/>
            <w:r>
              <w:rPr>
                <w:b w:val="0"/>
                <w:sz w:val="15"/>
              </w:rPr>
              <w:t>Jāhnavā</w:t>
            </w:r>
          </w:p>
        </w:tc>
        <w:tc>
          <w:tcPr>
            <w:tcW w:type="dxa" w:w="3389"/>
            <w:vAlign w:val="top"/>
          </w:tcPr>
          <w:p>
            <w:pPr>
              <w:spacing w:after="0"/>
            </w:pPr>
            <w:r/>
            <w:r>
              <w:rPr>
                <w:b w:val="0"/>
                <w:sz w:val="15"/>
              </w:rPr>
              <w:t>B — BR multi-day visit and vision; C ghāṭ/baithak</w:t>
            </w:r>
          </w:p>
        </w:tc>
        <w:tc>
          <w:tcPr>
            <w:tcW w:type="dxa" w:w="3389"/>
            <w:vAlign w:val="top"/>
          </w:tcPr>
          <w:p>
            <w:pPr>
              <w:spacing w:after="0"/>
            </w:pPr>
            <w:r/>
            <w:r>
              <w:rPr>
                <w:b w:val="0"/>
                <w:sz w:val="15"/>
              </w:rPr>
              <w:t>B-level bank visit does not itself name the modern northern Jāhnavā Ghāṭ.</w:t>
            </w:r>
          </w:p>
        </w:tc>
      </w:tr>
      <w:tr>
        <w:trPr>
          <w:cantSplit/>
        </w:trPr>
        <w:tc>
          <w:tcPr>
            <w:tcW w:type="dxa" w:w="3389"/>
            <w:vAlign w:val="top"/>
          </w:tcPr>
          <w:p>
            <w:pPr>
              <w:spacing w:after="0"/>
            </w:pPr>
            <w:r/>
            <w:r>
              <w:rPr>
                <w:b w:val="0"/>
                <w:sz w:val="15"/>
              </w:rPr>
              <w:t>Śrīnivāsa/Narottama</w:t>
            </w:r>
          </w:p>
        </w:tc>
        <w:tc>
          <w:tcPr>
            <w:tcW w:type="dxa" w:w="3389"/>
            <w:vAlign w:val="top"/>
          </w:tcPr>
          <w:p>
            <w:pPr>
              <w:spacing w:after="0"/>
            </w:pPr>
            <w:r/>
            <w:r>
              <w:rPr>
                <w:b w:val="0"/>
                <w:sz w:val="15"/>
              </w:rPr>
              <w:t>B — BR two visits and guided parikramā</w:t>
            </w:r>
          </w:p>
        </w:tc>
        <w:tc>
          <w:tcPr>
            <w:tcW w:type="dxa" w:w="3389"/>
            <w:vAlign w:val="top"/>
          </w:tcPr>
          <w:p>
            <w:pPr>
              <w:spacing w:after="0"/>
            </w:pPr>
            <w:r/>
            <w:r>
              <w:rPr>
                <w:b w:val="0"/>
                <w:sz w:val="15"/>
              </w:rPr>
              <w:t>Do not merge visits or infer permanent residence for Narottama.</w:t>
            </w:r>
          </w:p>
        </w:tc>
      </w:tr>
    </w:tbl>
    <w:p>
      <w:pPr>
        <w:pStyle w:val="Heading1"/>
        <w:keepNext/>
        <w:spacing w:after="50"/>
      </w:pPr>
      <w:r>
        <w:t>33. Open historical questions carried into RK-05</w:t>
      </w:r>
    </w:p>
    <w:p>
      <w:pPr>
        <w:pStyle w:val="ListBullet"/>
        <w:spacing w:after="50"/>
      </w:pPr>
      <w:r>
        <w:t>Obtain/verify the underlying Raghunātha→Jīva Persian deed: original wording, 7 Rajab 996 AH date, legal form, six parcels, aṭrāf talāv, 238-rupee consideration and boundaries.</w:t>
      </w:r>
    </w:p>
    <w:p>
      <w:pPr>
        <w:pStyle w:val="ListBullet"/>
        <w:spacing w:after="50"/>
      </w:pPr>
      <w:r>
        <w:t>Obtain the Bansal transcription/bibliography for Entwistle’s reported 1637 Rādhā-kuṇḍa document and determine exactly what “dwelling” and each named establishment denote.</w:t>
      </w:r>
    </w:p>
    <w:p>
      <w:pPr>
        <w:pStyle w:val="ListBullet"/>
        <w:spacing w:after="50"/>
      </w:pPr>
      <w:r>
        <w:t>Verify the reproduced 1672, 1721–22 and 1842 records and distinguish ownership, construction, maintenance, drainage and garden rights.</w:t>
      </w:r>
    </w:p>
    <w:p>
      <w:pPr>
        <w:pStyle w:val="ListBullet"/>
        <w:spacing w:after="50"/>
      </w:pPr>
      <w:r>
        <w:t>Reconcile, if possible, BR’s Raghunātha-directed excavation with later documents attributing lakes/gardens to Jīva; they may represent different phases of development.</w:t>
      </w:r>
    </w:p>
    <w:p>
      <w:pPr>
        <w:pStyle w:val="ListBullet"/>
        <w:spacing w:after="50"/>
      </w:pPr>
      <w:r>
        <w:t>Trace the historical construction of masonry ghāṭs, steps, causeway/saṅgama structures, water channels, wells and drainage systems. Do not project Govinda-līlāmṛta’s jeweled nitya-līlā architecture into early modern masonry history.</w:t>
      </w:r>
    </w:p>
    <w:p>
      <w:pPr>
        <w:pStyle w:val="ListBullet"/>
        <w:spacing w:after="50"/>
      </w:pPr>
      <w:r>
        <w:t>Date and attribute the principal temples, samādhis, bhajana-kuṭīras, baithaks and sacred-tree memorials around the perimeter using inscriptions, deeds, patronage traditions, Growse, Entwistle and maps.</w:t>
      </w:r>
    </w:p>
    <w:p>
      <w:pPr>
        <w:pStyle w:val="ListBullet"/>
        <w:spacing w:after="50"/>
      </w:pPr>
      <w:r>
        <w:t>Verify BR 11.150–189 against the Bengali printed text before final quotation of the Jāhnavā episode.</w:t>
      </w:r>
    </w:p>
    <w:p>
      <w:pPr>
        <w:pStyle w:val="ListBullet"/>
        <w:spacing w:after="50"/>
      </w:pPr>
      <w:r>
        <w:t>Trace the earliest premodern use of the name Jāhnavā Ghāṭ, the kadamba/bakula/tamāla tree history, and the present Gopāla Bhaṭṭa kuṭīra footprint.</w:t>
      </w:r>
    </w:p>
    <w:p>
      <w:pPr>
        <w:pStyle w:val="ListBullet"/>
        <w:spacing w:after="50"/>
      </w:pPr>
      <w:r>
        <w:t>Continue the unresolved sakhā-kuñja questions from RK-03, especially why the priya-narma-sakhās offered/assigned their kuñjas to Rādhā/Lalitā/others and the exact parsing of GL 7.111 sva-kāntāgrahato ’tisaṁskṛtaiḥ.</w:t>
      </w:r>
    </w:p>
    <w:p>
      <w:pPr>
        <w:pStyle w:val="Heading1"/>
        <w:keepNext/>
        <w:spacing w:after="50"/>
      </w:pPr>
      <w:r>
        <w:t>34. Next specialist ledger — RK-05 Historical &amp; Physical Rādhā-kuṇḍa</w:t>
      </w:r>
    </w:p>
    <w:p>
      <w:pPr>
        <w:spacing w:after="50"/>
      </w:pPr>
      <w:r>
        <w:t>The next research phase is the project’s Historical-Physical milestone: deeds, maps, ghāṭ and temple construction, patrons, water engineering, ownership, rebuilding, town morphology and the relationship between old Āriṭ village and the developed sacred settlement. The research should begin with the strongest D-level materials already in the corpus — Entwistle, Growse, reproduced deeds/orders and any maps — and work chronologically. Present-day site verification, photography and walking order remain a later field-guide milestone.</w:t>
      </w:r>
    </w:p>
    <w:p>
      <w:pPr>
        <w:pStyle w:val="Heading1"/>
        <w:keepNext/>
        <w:spacing w:after="50"/>
      </w:pPr>
      <w:r>
        <w:t>35. Current authoritative project-document stack</w:t>
      </w:r>
    </w:p>
    <w:p>
      <w:pPr>
        <w:pStyle w:val="ListBullet"/>
        <w:spacing w:after="50"/>
      </w:pPr>
      <w:r>
        <w:t>Govardhana Pilgrimage — Master Research Framework v0.2 — governing methodology and source hierarchy.</w:t>
      </w:r>
    </w:p>
    <w:p>
      <w:pPr>
        <w:pStyle w:val="ListBullet"/>
        <w:spacing w:after="50"/>
      </w:pPr>
      <w:r>
        <w:t>01 — Rādhā-kuṇḍa Research Dossier v0.4 — current master/control dossier.</w:t>
      </w:r>
    </w:p>
    <w:p>
      <w:pPr>
        <w:pStyle w:val="ListBullet"/>
        <w:spacing w:after="50"/>
      </w:pPr>
      <w:r>
        <w:t>RK-02 — Rādhā-kuṇḍa Nitya-līlā &amp; Sacred Geography Research Ledger v0.2 — detailed textual geography and aṣṭa-kālīya evidence.</w:t>
      </w:r>
    </w:p>
    <w:p>
      <w:pPr>
        <w:pStyle w:val="ListBullet"/>
        <w:spacing w:after="50"/>
      </w:pPr>
      <w:r>
        <w:t>RK-03 — People of the Rādhā-kuṇḍa Landscape Research Ledger v0.3 — detailed social/service ecology.</w:t>
      </w:r>
    </w:p>
    <w:p>
      <w:pPr>
        <w:pStyle w:val="ListBullet"/>
        <w:spacing w:after="50"/>
      </w:pPr>
      <w:r>
        <w:t>RK-04 — Caitanya, the Gosvāmīs &amp; Gauḍīya Rādhā-kuṇḍa Research Ledger v0.3 — detailed early Gauḍīya historical/transmission evidence.</w:t>
      </w:r>
    </w:p>
    <w:p>
      <w:pPr>
        <w:pStyle w:val="ListBullet"/>
        <w:spacing w:after="50"/>
      </w:pPr>
      <w:r>
        <w:t>Next new specialist document: RK-05 — Historical &amp; Physical Rādhā-kuṇḍa Research Ledger.</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Govardhana Pilgrimage • 01 Rādhā-kuṇḍa Research Dossier • v0.4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