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0" w:before="0"/>
        <w:jc w:val="center"/>
      </w:pPr>
      <w:r>
        <w:rPr>
          <w:b/>
          <w:sz w:val="46"/>
        </w:rPr>
        <w:t>Govardhana Pilgrimage — Master Research Framework</w:t>
      </w:r>
    </w:p>
    <w:p>
      <w:pPr>
        <w:spacing w:after="50" w:before="0"/>
        <w:jc w:val="center"/>
      </w:pPr>
      <w:r>
        <w:rPr>
          <w:i/>
          <w:sz w:val="23"/>
        </w:rPr>
        <w:t>Methodology, evidence preservation &amp; documentation checkpoints • v0.2 • 18 Aug 2026</w:t>
      </w:r>
    </w:p>
    <w:p>
      <w:pPr>
        <w:spacing w:after="50" w:before="0"/>
      </w:pPr>
    </w:p>
    <w:p>
      <w:pPr>
        <w:pStyle w:val="Heading1"/>
        <w:spacing w:after="50" w:before="0"/>
      </w:pPr>
      <w:r>
        <w:t>1. Purpose</w:t>
      </w:r>
    </w:p>
    <w:p>
      <w:pPr>
        <w:spacing w:after="50" w:before="0"/>
      </w:pPr>
      <w:r>
        <w:t>To build a comprehensive Gauḍīya Vaiṣṇava guide to the 71 principal Govardhana destinations and their internal sacred landscapes, combining devotional depth, exact textual sourcing, early pilgrimage geography, historical documentation, and a practical walking guide.</w:t>
      </w:r>
    </w:p>
    <w:p>
      <w:pPr>
        <w:pStyle w:val="Heading1"/>
        <w:spacing w:after="50" w:before="0"/>
      </w:pPr>
      <w:r>
        <w:t>2. Source hierarchy</w:t>
      </w:r>
    </w:p>
    <w:p>
      <w:pPr>
        <w:pStyle w:val="ListBullet"/>
        <w:spacing w:after="50" w:before="0"/>
      </w:pPr>
      <w:r>
        <w:t>A — Primary scripture / Gosvāmī sources.</w:t>
      </w:r>
    </w:p>
    <w:p>
      <w:pPr>
        <w:pStyle w:val="ListBullet"/>
        <w:spacing w:after="50" w:before="0"/>
      </w:pPr>
      <w:r>
        <w:t>B — Early Vraja pilgrimage and localization tradition.</w:t>
      </w:r>
    </w:p>
    <w:p>
      <w:pPr>
        <w:pStyle w:val="ListBullet"/>
        <w:spacing w:after="50" w:before="0"/>
      </w:pPr>
      <w:r>
        <w:t>C — Later/local devotional and institutional tradition.</w:t>
      </w:r>
    </w:p>
    <w:p>
      <w:pPr>
        <w:pStyle w:val="ListBullet"/>
        <w:spacing w:after="50" w:before="0"/>
      </w:pPr>
      <w:r>
        <w:t>D — Historical/documentary evidence.</w:t>
      </w:r>
    </w:p>
    <w:p>
      <w:pPr>
        <w:pStyle w:val="Heading1"/>
        <w:spacing w:after="50" w:before="0"/>
      </w:pPr>
      <w:r>
        <w:t>3. Non-negotiable claim discipline</w:t>
      </w:r>
    </w:p>
    <w:p>
      <w:pPr>
        <w:pStyle w:val="ListBullet"/>
        <w:spacing w:after="50" w:before="0"/>
      </w:pPr>
      <w:r>
        <w:t>Never invent a citation.</w:t>
      </w:r>
    </w:p>
    <w:p>
      <w:pPr>
        <w:pStyle w:val="ListBullet"/>
        <w:spacing w:after="50" w:before="0"/>
      </w:pPr>
      <w:r>
        <w:t>Preserve original Sanskrit/Bengali/Braj where wording matters, with translation.</w:t>
      </w:r>
    </w:p>
    <w:p>
      <w:pPr>
        <w:pStyle w:val="ListBullet"/>
        <w:spacing w:after="50" w:before="0"/>
      </w:pPr>
      <w:r>
        <w:t>Separate a līlā’s textual antiquity from the antiquity of its present geographical localization.</w:t>
      </w:r>
    </w:p>
    <w:p>
      <w:pPr>
        <w:pStyle w:val="ListBullet"/>
        <w:spacing w:after="50" w:before="0"/>
      </w:pPr>
      <w:r>
        <w:t>A modern shrine with an early name is not automatically the precise place intended in the early text.</w:t>
      </w:r>
    </w:p>
    <w:p>
      <w:pPr>
        <w:pStyle w:val="ListBullet"/>
        <w:spacing w:after="50" w:before="0"/>
      </w:pPr>
      <w:r>
        <w:t>A secondary quotation of an older source is a navigation aid until the older source has been checked where possible.</w:t>
      </w:r>
    </w:p>
    <w:p>
      <w:pPr>
        <w:pStyle w:val="ListBullet"/>
        <w:spacing w:after="50" w:before="0"/>
      </w:pPr>
      <w:r>
        <w:t>Uncertainty and variant traditions are recorded explicitly.</w:t>
      </w:r>
    </w:p>
    <w:p>
      <w:pPr>
        <w:pStyle w:val="Heading1"/>
        <w:spacing w:after="50" w:before="0"/>
      </w:pPr>
      <w:r>
        <w:t>4. Evidence-preservation ledger — new v0.2 rule</w:t>
      </w:r>
    </w:p>
    <w:p>
      <w:pPr>
        <w:spacing w:after="50" w:before="0"/>
      </w:pPr>
      <w:r>
        <w:t>To avoid losing details during long research sequences, every destination dossier will contain a cumulative evidence ledger. Each major finding is entered at the next logical checkpoint with: claim; exact source locus; original quotation where useful; source layer A/B/C/D; confidence; modern-localization status; and unresolved questions. Research conversation may remain exploratory, but the ledger becomes the durable scholarly memory.</w:t>
      </w:r>
    </w:p>
    <w:p>
      <w:pPr>
        <w:pStyle w:val="Heading1"/>
        <w:spacing w:after="50" w:before="0"/>
      </w:pPr>
      <w:r>
        <w:t>5. Documentation milestones — new v0.2 rule</w:t>
      </w:r>
    </w:p>
    <w:p>
      <w:pPr>
        <w:pStyle w:val="ListBullet"/>
        <w:spacing w:after="50" w:before="0"/>
      </w:pPr>
      <w:r>
        <w:t>Baseline survey milestone: site inventory and source corpus.</w:t>
      </w:r>
    </w:p>
    <w:p>
      <w:pPr>
        <w:pStyle w:val="ListBullet"/>
        <w:spacing w:after="50" w:before="0"/>
      </w:pPr>
      <w:r>
        <w:t>Textual-foundation milestone: origin story and source genealogy established.</w:t>
      </w:r>
    </w:p>
    <w:p>
      <w:pPr>
        <w:pStyle w:val="ListBullet"/>
        <w:spacing w:after="50" w:before="0"/>
      </w:pPr>
      <w:r>
        <w:t>Sacred-geography milestone: primary textual map and early pilgrimage corroboration established.</w:t>
      </w:r>
    </w:p>
    <w:p>
      <w:pPr>
        <w:pStyle w:val="ListBullet"/>
        <w:spacing w:after="50" w:before="0"/>
      </w:pPr>
      <w:r>
        <w:t>Aṣṭa-kālīya milestone: route, timing, companions and activities compared across major daily-līlā texts.</w:t>
      </w:r>
    </w:p>
    <w:p>
      <w:pPr>
        <w:pStyle w:val="ListBullet"/>
        <w:spacing w:after="50" w:before="0"/>
      </w:pPr>
      <w:r>
        <w:t>People-of-landscape milestone: social/service cast identified.</w:t>
      </w:r>
    </w:p>
    <w:p>
      <w:pPr>
        <w:pStyle w:val="ListBullet"/>
        <w:spacing w:after="50" w:before="0"/>
      </w:pPr>
      <w:r>
        <w:t>Caitanya/Gosvāmī milestone: visit, residence, restoration and transmission history.</w:t>
      </w:r>
    </w:p>
    <w:p>
      <w:pPr>
        <w:pStyle w:val="ListBullet"/>
        <w:spacing w:after="50" w:before="0"/>
      </w:pPr>
      <w:r>
        <w:t>Historical-physical milestone: deeds, maps, ghāṭ/temple construction and town development.</w:t>
      </w:r>
    </w:p>
    <w:p>
      <w:pPr>
        <w:pStyle w:val="ListBullet"/>
        <w:spacing w:after="50" w:before="0"/>
      </w:pPr>
      <w:r>
        <w:t>Field-guide milestone: present-day verification, walking order, photographs and maps.</w:t>
      </w:r>
    </w:p>
    <w:p>
      <w:pPr>
        <w:pStyle w:val="ListBullet"/>
        <w:spacing w:after="50" w:before="0"/>
      </w:pPr>
      <w:r>
        <w:t>Final synthesis milestone: polished devotional/scholarly guide chapter.</w:t>
      </w:r>
    </w:p>
    <w:p>
      <w:pPr>
        <w:pStyle w:val="Heading1"/>
        <w:spacing w:after="50" w:before="0"/>
      </w:pPr>
      <w:r>
        <w:t>6. Three-map principle</w:t>
      </w:r>
    </w:p>
    <w:p>
      <w:pPr>
        <w:spacing w:after="50" w:before="0"/>
      </w:pPr>
      <w:r>
        <w:t>Every major sacred complex may require three distinct but cross-referenced maps: (1) nitya-līlā/textual geography; (2) early pilgrimage/localization geography; (3) historically documented and present-day physical geography.</w:t>
      </w:r>
    </w:p>
    <w:p>
      <w:pPr>
        <w:pStyle w:val="Heading1"/>
        <w:spacing w:after="50" w:before="0"/>
      </w:pPr>
      <w:r>
        <w:t>7. Standard chapter architecture</w:t>
      </w:r>
    </w:p>
    <w:p>
      <w:pPr>
        <w:pStyle w:val="ListBullet"/>
        <w:spacing w:after="50" w:before="0"/>
      </w:pPr>
      <w:r>
        <w:t>Identity, names and etymology.</w:t>
      </w:r>
    </w:p>
    <w:p>
      <w:pPr>
        <w:pStyle w:val="ListBullet"/>
        <w:spacing w:after="50" w:before="0"/>
      </w:pPr>
      <w:r>
        <w:t>Physical orientation and continuous landscape.</w:t>
      </w:r>
    </w:p>
    <w:p>
      <w:pPr>
        <w:pStyle w:val="ListBullet"/>
        <w:spacing w:after="50" w:before="0"/>
      </w:pPr>
      <w:r>
        <w:t>Earliest textual foundation.</w:t>
      </w:r>
    </w:p>
    <w:p>
      <w:pPr>
        <w:pStyle w:val="ListBullet"/>
        <w:spacing w:after="50" w:before="0"/>
      </w:pPr>
      <w:r>
        <w:t>Principal līlā with textual genealogy.</w:t>
      </w:r>
    </w:p>
    <w:p>
      <w:pPr>
        <w:pStyle w:val="ListBullet"/>
        <w:spacing w:after="50" w:before="0"/>
      </w:pPr>
      <w:r>
        <w:t>Theology/devotional significance.</w:t>
      </w:r>
    </w:p>
    <w:p>
      <w:pPr>
        <w:pStyle w:val="ListBullet"/>
        <w:spacing w:after="50" w:before="0"/>
      </w:pPr>
      <w:r>
        <w:t>Aṣṭa-kālīya-līlā route and timing.</w:t>
      </w:r>
    </w:p>
    <w:p>
      <w:pPr>
        <w:pStyle w:val="ListBullet"/>
        <w:spacing w:after="50" w:before="0"/>
      </w:pPr>
      <w:r>
        <w:t>People and service ecology.</w:t>
      </w:r>
    </w:p>
    <w:p>
      <w:pPr>
        <w:pStyle w:val="ListBullet"/>
        <w:spacing w:after="50" w:before="0"/>
      </w:pPr>
      <w:r>
        <w:t>Micro-geography and sub-sites.</w:t>
      </w:r>
    </w:p>
    <w:p>
      <w:pPr>
        <w:pStyle w:val="ListBullet"/>
        <w:spacing w:after="50" w:before="0"/>
      </w:pPr>
      <w:r>
        <w:t>Caitanya-līlā.</w:t>
      </w:r>
    </w:p>
    <w:p>
      <w:pPr>
        <w:pStyle w:val="ListBullet"/>
        <w:spacing w:after="50" w:before="0"/>
      </w:pPr>
      <w:r>
        <w:t>Gosvāmī presence and contribution.</w:t>
      </w:r>
    </w:p>
    <w:p>
      <w:pPr>
        <w:pStyle w:val="ListBullet"/>
        <w:spacing w:after="50" w:before="0"/>
      </w:pPr>
      <w:r>
        <w:t>Later Vaiṣṇava history.</w:t>
      </w:r>
    </w:p>
    <w:p>
      <w:pPr>
        <w:pStyle w:val="ListBullet"/>
        <w:spacing w:after="50" w:before="0"/>
      </w:pPr>
      <w:r>
        <w:t>Physical/architectural/documentary history.</w:t>
      </w:r>
    </w:p>
    <w:p>
      <w:pPr>
        <w:pStyle w:val="ListBullet"/>
        <w:spacing w:after="50" w:before="0"/>
      </w:pPr>
      <w:r>
        <w:t>What to visit today: numbered walking itinerary.</w:t>
      </w:r>
    </w:p>
    <w:p>
      <w:pPr>
        <w:pStyle w:val="ListBullet"/>
        <w:spacing w:after="50" w:before="0"/>
      </w:pPr>
      <w:r>
        <w:t>Primary-source anthology.</w:t>
      </w:r>
    </w:p>
    <w:p>
      <w:pPr>
        <w:pStyle w:val="ListBullet"/>
        <w:spacing w:after="50" w:before="0"/>
      </w:pPr>
      <w:r>
        <w:t>Source matrix, variants and unresolved questions.</w:t>
      </w:r>
    </w:p>
    <w:p>
      <w:pPr>
        <w:pStyle w:val="Heading1"/>
        <w:spacing w:after="50" w:before="0"/>
      </w:pPr>
      <w:r>
        <w:t>8. Working-document policy</w:t>
      </w:r>
    </w:p>
    <w:p>
      <w:pPr>
        <w:spacing w:after="50" w:before="0"/>
      </w:pPr>
      <w:r>
        <w:t>The Master Framework changes infrequently. Each principal destination has its own living dossier. At meaningful milestones a new dossier version is generated and the user replaces the prior version in Project Sources. Older versions may be retained outside Sources for archival comparison, but the newest uploaded version is treated as the current project research memory.</w:t>
      </w:r>
    </w:p>
    <w:p>
      <w:pPr>
        <w:pStyle w:val="Heading1"/>
        <w:spacing w:after="50" w:before="0"/>
      </w:pPr>
      <w:r>
        <w:t>9. Immediate project status</w:t>
      </w:r>
    </w:p>
    <w:p>
      <w:pPr>
        <w:spacing w:after="50" w:before="0"/>
      </w:pPr>
      <w:r>
        <w:t>Rādhā-kuṇḍa has reached the Sacred-Geography documentation milestone: its textual foundation, key Gosvāmī theology, Govinda-līlāmṛta Sarga 7 sacred architecture, aṣṭa-sakhī mandala, central Anaṅga-mañjarī lotus dwelling, Śyāma/Ariṣṭa-kuṇḍa sakhā system, and several Bhakti-ratnākara micro-sites have been sufficiently established to preserve in dossier v0.2. The next milestone will be the aṣṭa-kālīya route comparison.</w:t>
      </w:r>
    </w:p>
    <w:sectPr w:rsidR="00FC693F" w:rsidRPr="0006063C" w:rsidSect="00034616">
      <w:footerReference w:type="default" r:id="rId9"/>
      <w:pgSz w:w="12240" w:h="15840"/>
      <w:pgMar w:top="792" w:right="1037" w:bottom="792"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Govardhana Pilgrimage • Master Research Framework • v0.2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Aptos" w:hAnsi="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