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000"/>
        <w:jc w:val="center"/>
      </w:pPr>
      <w:r>
        <w:rPr>
          <w:rFonts w:ascii="Aptos Display" w:hAnsi="Aptos Display"/>
          <w:b/>
          <w:color w:val="25767A"/>
          <w:sz w:val="26"/>
        </w:rPr>
        <w:t>GOVARDHANA PILGRIMAGE</w:t>
      </w:r>
    </w:p>
    <w:p>
      <w:pPr>
        <w:spacing w:before="240" w:after="240"/>
        <w:jc w:val="center"/>
      </w:pPr>
      <w:r>
        <w:rPr>
          <w:rFonts w:ascii="Aptos Display" w:hAnsi="Aptos Display"/>
          <w:b/>
          <w:color w:val="18324A"/>
          <w:sz w:val="56"/>
        </w:rPr>
        <w:t>PROJECT READINESS</w:t>
        <w:br/>
        <w:t>&amp; CONTINUITY REPORT</w:t>
      </w:r>
    </w:p>
    <w:p>
      <w:pPr>
        <w:jc w:val="center"/>
      </w:pPr>
      <w:r>
        <w:rPr>
          <w:color w:val="B8954E"/>
          <w:sz w:val="24"/>
        </w:rPr>
        <w:t>━━━━━━━━━━━━━━━━━━━━</w:t>
      </w:r>
    </w:p>
    <w:p>
      <w:pPr>
        <w:spacing w:before="280"/>
        <w:jc w:val="center"/>
      </w:pPr>
      <w:r>
        <w:rPr>
          <w:rFonts w:ascii="Aptos" w:hAnsi="Aptos"/>
          <w:color w:val="5B656C"/>
          <w:sz w:val="22"/>
        </w:rPr>
        <w:t>Canonical orientation • source-control demonstration • documentary corrections • next-phase handoff</w:t>
      </w:r>
    </w:p>
    <w:p>
      <w:pPr>
        <w:spacing w:before="1400"/>
        <w:jc w:val="center"/>
      </w:pPr>
      <w:r>
        <w:rPr>
          <w:rFonts w:ascii="Aptos" w:hAnsi="Aptos"/>
          <w:color w:val="5B656C"/>
          <w:sz w:val="20"/>
        </w:rPr>
        <w:t>Prepared from the local Govardhana project library</w:t>
        <w:br/>
        <w:t>19 August 2026</w:t>
      </w:r>
    </w:p>
    <w:tbl>
      <w:tblPr>
        <w:tblW w:type="auto" w:w="0"/>
        <w:jc w:val="center"/>
        <w:tblLayout w:type="fixed"/>
        <w:tblLook w:firstColumn="1" w:firstRow="1" w:lastColumn="0" w:lastRow="0" w:noHBand="0" w:noVBand="1" w:val="04A0"/>
      </w:tblPr>
      <w:tblGrid>
        <w:gridCol w:w="8208"/>
      </w:tblGrid>
      <w:tr>
        <w:tc>
          <w:tcPr>
            <w:tcW w:type="dxa" w:w="9878"/>
            <w:shd w:fill="EAF1F2"/>
            <w:tcMar>
              <w:top w:w="180" w:type="dxa"/>
              <w:start w:w="200" w:type="dxa"/>
              <w:bottom w:w="180" w:type="dxa"/>
              <w:end w:w="200" w:type="dxa"/>
            </w:tcMar>
            <w:vAlign w:val="center"/>
          </w:tcPr>
          <w:p>
            <w:pPr>
              <w:spacing w:after="0"/>
              <w:jc w:val="center"/>
            </w:pPr>
            <w:r>
              <w:rPr>
                <w:rFonts w:ascii="Aptos Display" w:hAnsi="Aptos Display"/>
                <w:b/>
                <w:color w:val="18324A"/>
                <w:sz w:val="23"/>
              </w:rPr>
              <w:t>READINESS RULING</w:t>
              <w:br/>
              <w:t>READY WITH MINOR SOURCE GAPS</w:t>
            </w:r>
          </w:p>
        </w:tc>
      </w:tr>
    </w:tbl>
    <w:p>
      <w:r>
        <w:br w:type="page"/>
      </w:r>
    </w:p>
    <w:p>
      <w:pPr>
        <w:pStyle w:val="Heading1"/>
        <w:spacing w:before="40"/>
      </w:pPr>
      <w:r>
        <w:t>REPORT SCOPE</w:t>
      </w:r>
    </w:p>
    <w:p>
      <w:pPr>
        <w:shd w:fill="EAF1F2"/>
        <w:spacing w:before="40" w:after="80"/>
        <w:ind w:left="115" w:right="115"/>
      </w:pPr>
      <w:r>
        <w:t>This report records orientation and continuity only. It does not conduct RK-05, rewrite a canonical ledger, or resolve conflicts that the sources leave open. Every judgment below is tied to material actually inspected in the local folder.</w:t>
      </w:r>
    </w:p>
    <w:p>
      <w:pPr>
        <w:pStyle w:val="Heading1"/>
      </w:pPr>
      <w:r>
        <w:t>CONTENTS</w:t>
      </w:r>
    </w:p>
    <w:tbl>
      <w:tblPr>
        <w:tblW w:type="auto" w:w="0"/>
        <w:jc w:val="center"/>
        <w:tblLayout w:type="fixed"/>
        <w:tblLook w:firstColumn="1" w:firstRow="1" w:lastColumn="0" w:lastRow="0" w:noHBand="0" w:noVBand="1" w:val="04A0"/>
      </w:tblPr>
      <w:tblGrid>
        <w:gridCol w:w="9288"/>
      </w:tblGrid>
      <w:tr>
        <w:tc>
          <w:tcPr>
            <w:tcW w:type="dxa" w:w="9878"/>
            <w:tcMar>
              <w:top w:w="75" w:type="dxa"/>
              <w:start w:w="130" w:type="dxa"/>
              <w:bottom w:w="75" w:type="dxa"/>
              <w:end w:w="130" w:type="dxa"/>
            </w:tcMar>
            <w:shd w:fill="F4F6F7"/>
          </w:tcPr>
          <w:p>
            <w:pPr>
              <w:spacing w:after="0"/>
            </w:pPr>
            <w:r>
              <w:rPr>
                <w:rFonts w:ascii="Aptos" w:hAnsi="Aptos"/>
                <w:color w:val="252C31"/>
                <w:sz w:val="19"/>
              </w:rPr>
              <w:t>1  File Access and Source Inventory</w:t>
            </w:r>
          </w:p>
        </w:tc>
      </w:tr>
      <w:tr>
        <w:tc>
          <w:tcPr>
            <w:tcW w:type="dxa" w:w="9878"/>
            <w:tcMar>
              <w:top w:w="75" w:type="dxa"/>
              <w:start w:w="130" w:type="dxa"/>
              <w:bottom w:w="75" w:type="dxa"/>
              <w:end w:w="130" w:type="dxa"/>
            </w:tcMar>
          </w:tcPr>
          <w:p>
            <w:pPr>
              <w:spacing w:after="0"/>
            </w:pPr>
            <w:r>
              <w:rPr>
                <w:rFonts w:ascii="Aptos" w:hAnsi="Aptos"/>
                <w:color w:val="252C31"/>
                <w:sz w:val="19"/>
              </w:rPr>
              <w:t>2  Explain the Project in Your Own Words</w:t>
            </w:r>
          </w:p>
        </w:tc>
      </w:tr>
      <w:tr>
        <w:tc>
          <w:tcPr>
            <w:tcW w:type="dxa" w:w="9878"/>
            <w:tcMar>
              <w:top w:w="75" w:type="dxa"/>
              <w:start w:w="130" w:type="dxa"/>
              <w:bottom w:w="75" w:type="dxa"/>
              <w:end w:w="130" w:type="dxa"/>
            </w:tcMar>
            <w:shd w:fill="F4F6F7"/>
          </w:tcPr>
          <w:p>
            <w:pPr>
              <w:spacing w:after="0"/>
            </w:pPr>
            <w:r>
              <w:rPr>
                <w:rFonts w:ascii="Aptos" w:hAnsi="Aptos"/>
                <w:color w:val="252C31"/>
                <w:sz w:val="19"/>
              </w:rPr>
              <w:t>3  Methodology Test</w:t>
            </w:r>
          </w:p>
        </w:tc>
      </w:tr>
      <w:tr>
        <w:tc>
          <w:tcPr>
            <w:tcW w:type="dxa" w:w="9878"/>
            <w:tcMar>
              <w:top w:w="75" w:type="dxa"/>
              <w:start w:w="130" w:type="dxa"/>
              <w:bottom w:w="75" w:type="dxa"/>
              <w:end w:w="130" w:type="dxa"/>
            </w:tcMar>
          </w:tcPr>
          <w:p>
            <w:pPr>
              <w:spacing w:after="0"/>
            </w:pPr>
            <w:r>
              <w:rPr>
                <w:rFonts w:ascii="Aptos" w:hAnsi="Aptos"/>
                <w:color w:val="252C31"/>
                <w:sz w:val="19"/>
              </w:rPr>
              <w:t>4  Current Rādhā-kuṇḍa State of Knowledge</w:t>
            </w:r>
          </w:p>
        </w:tc>
      </w:tr>
      <w:tr>
        <w:tc>
          <w:tcPr>
            <w:tcW w:type="dxa" w:w="9878"/>
            <w:tcMar>
              <w:top w:w="75" w:type="dxa"/>
              <w:start w:w="130" w:type="dxa"/>
              <w:bottom w:w="75" w:type="dxa"/>
              <w:end w:w="130" w:type="dxa"/>
            </w:tcMar>
            <w:shd w:fill="F4F6F7"/>
          </w:tcPr>
          <w:p>
            <w:pPr>
              <w:spacing w:after="0"/>
            </w:pPr>
            <w:r>
              <w:rPr>
                <w:rFonts w:ascii="Aptos" w:hAnsi="Aptos"/>
                <w:color w:val="252C31"/>
                <w:sz w:val="19"/>
              </w:rPr>
              <w:t>5  Important Open Questions</w:t>
            </w:r>
          </w:p>
        </w:tc>
      </w:tr>
      <w:tr>
        <w:tc>
          <w:tcPr>
            <w:tcW w:type="dxa" w:w="9878"/>
            <w:tcMar>
              <w:top w:w="75" w:type="dxa"/>
              <w:start w:w="130" w:type="dxa"/>
              <w:bottom w:w="75" w:type="dxa"/>
              <w:end w:w="130" w:type="dxa"/>
            </w:tcMar>
          </w:tcPr>
          <w:p>
            <w:pPr>
              <w:spacing w:after="0"/>
            </w:pPr>
            <w:r>
              <w:rPr>
                <w:rFonts w:ascii="Aptos" w:hAnsi="Aptos"/>
                <w:b/>
                <w:color w:val="25767A"/>
                <w:sz w:val="19"/>
              </w:rPr>
              <w:t>6  New Documentary Evidence and Corrections</w:t>
            </w:r>
          </w:p>
        </w:tc>
      </w:tr>
      <w:tr>
        <w:tc>
          <w:tcPr>
            <w:tcW w:type="dxa" w:w="9878"/>
            <w:tcMar>
              <w:top w:w="75" w:type="dxa"/>
              <w:start w:w="130" w:type="dxa"/>
              <w:bottom w:w="75" w:type="dxa"/>
              <w:end w:w="130" w:type="dxa"/>
            </w:tcMar>
            <w:shd w:fill="F4F6F7"/>
          </w:tcPr>
          <w:p>
            <w:pPr>
              <w:spacing w:after="0"/>
            </w:pPr>
            <w:r>
              <w:rPr>
                <w:rFonts w:ascii="Aptos" w:hAnsi="Aptos"/>
                <w:color w:val="252C31"/>
                <w:sz w:val="19"/>
              </w:rPr>
              <w:t>7  Source-Control Demonstration</w:t>
            </w:r>
          </w:p>
        </w:tc>
      </w:tr>
      <w:tr>
        <w:tc>
          <w:tcPr>
            <w:tcW w:type="dxa" w:w="9878"/>
            <w:tcMar>
              <w:top w:w="75" w:type="dxa"/>
              <w:start w:w="130" w:type="dxa"/>
              <w:bottom w:w="75" w:type="dxa"/>
              <w:end w:w="130" w:type="dxa"/>
            </w:tcMar>
          </w:tcPr>
          <w:p>
            <w:pPr>
              <w:spacing w:after="0"/>
            </w:pPr>
            <w:r>
              <w:rPr>
                <w:rFonts w:ascii="Aptos" w:hAnsi="Aptos"/>
                <w:color w:val="252C31"/>
                <w:sz w:val="19"/>
              </w:rPr>
              <w:t>8  Local Library Quality Audit</w:t>
            </w:r>
          </w:p>
        </w:tc>
      </w:tr>
      <w:tr>
        <w:tc>
          <w:tcPr>
            <w:tcW w:type="dxa" w:w="9878"/>
            <w:tcMar>
              <w:top w:w="75" w:type="dxa"/>
              <w:start w:w="130" w:type="dxa"/>
              <w:bottom w:w="75" w:type="dxa"/>
              <w:end w:w="130" w:type="dxa"/>
            </w:tcMar>
            <w:shd w:fill="F4F6F7"/>
          </w:tcPr>
          <w:p>
            <w:pPr>
              <w:spacing w:after="0"/>
            </w:pPr>
            <w:r>
              <w:rPr>
                <w:rFonts w:ascii="Aptos" w:hAnsi="Aptos"/>
                <w:color w:val="252C31"/>
                <w:sz w:val="19"/>
              </w:rPr>
              <w:t>9  Exact Next Research Phase</w:t>
            </w:r>
          </w:p>
        </w:tc>
      </w:tr>
      <w:tr>
        <w:tc>
          <w:tcPr>
            <w:tcW w:type="dxa" w:w="9878"/>
            <w:tcMar>
              <w:top w:w="75" w:type="dxa"/>
              <w:start w:w="130" w:type="dxa"/>
              <w:bottom w:w="75" w:type="dxa"/>
              <w:end w:w="130" w:type="dxa"/>
            </w:tcMar>
          </w:tcPr>
          <w:p>
            <w:pPr>
              <w:spacing w:after="0"/>
            </w:pPr>
            <w:r>
              <w:rPr>
                <w:rFonts w:ascii="Aptos" w:hAnsi="Aptos"/>
                <w:color w:val="252C31"/>
                <w:sz w:val="19"/>
              </w:rPr>
              <w:t>10  Future Project Roadmap</w:t>
            </w:r>
          </w:p>
        </w:tc>
      </w:tr>
      <w:tr>
        <w:tc>
          <w:tcPr>
            <w:tcW w:type="dxa" w:w="9878"/>
            <w:tcMar>
              <w:top w:w="75" w:type="dxa"/>
              <w:start w:w="130" w:type="dxa"/>
              <w:bottom w:w="75" w:type="dxa"/>
              <w:end w:w="130" w:type="dxa"/>
            </w:tcMar>
            <w:shd w:fill="F4F6F7"/>
          </w:tcPr>
          <w:p>
            <w:pPr>
              <w:spacing w:after="0"/>
            </w:pPr>
            <w:r>
              <w:rPr>
                <w:rFonts w:ascii="Aptos" w:hAnsi="Aptos"/>
                <w:color w:val="252C31"/>
                <w:sz w:val="19"/>
              </w:rPr>
              <w:t>11  Readiness Self-Assessment</w:t>
            </w:r>
          </w:p>
        </w:tc>
      </w:tr>
      <w:tr>
        <w:tc>
          <w:tcPr>
            <w:tcW w:type="dxa" w:w="9878"/>
            <w:tcMar>
              <w:top w:w="75" w:type="dxa"/>
              <w:start w:w="130" w:type="dxa"/>
              <w:bottom w:w="75" w:type="dxa"/>
              <w:end w:w="130" w:type="dxa"/>
            </w:tcMar>
          </w:tcPr>
          <w:p>
            <w:pPr>
              <w:spacing w:after="0"/>
            </w:pPr>
            <w:r>
              <w:rPr>
                <w:rFonts w:ascii="Aptos" w:hAnsi="Aptos"/>
                <w:b/>
                <w:color w:val="25767A"/>
                <w:sz w:val="19"/>
              </w:rPr>
              <w:t>12  Handoff to Original Govardhana Chat</w:t>
            </w:r>
          </w:p>
        </w:tc>
      </w:tr>
    </w:tbl>
    <w:p>
      <w:r>
        <w:br w:type="page"/>
      </w:r>
    </w:p>
    <w:p>
      <w:pPr>
        <w:pStyle w:val="Heading1"/>
        <w:keepNext/>
      </w:pPr>
      <w:r>
        <w:t>SECTION 1 — FILE ACCESS AND SOURCE INVENTORY</w:t>
      </w:r>
    </w:p>
    <w:p>
      <w:pPr>
        <w:pStyle w:val="Heading2"/>
        <w:keepNext/>
      </w:pPr>
      <w:r>
        <w:t>Canonical project documents successfully opened and read</w:t>
      </w:r>
    </w:p>
    <w:p>
      <w:pPr>
        <w:spacing w:after="80"/>
        <w:ind w:left="360" w:hanging="360"/>
      </w:pPr>
      <w:r>
        <w:rPr>
          <w:b/>
          <w:color w:val="18324A"/>
        </w:rPr>
        <w:t xml:space="preserve">1.  </w:t>
      </w:r>
      <w:r>
        <w:t>Govardhana_Pilgrimage_Master_Research_Framework_v0.2.docx</w:t>
      </w:r>
    </w:p>
    <w:p>
      <w:pPr>
        <w:keepLines w:val="0"/>
      </w:pPr>
      <w:r>
        <w:t>Version: v0.2. Function: the governing charter and research architecture for the complete Govardhana Pilgrimage project. It defines the story-first sequence, the approximately seventy-one-place horizon, the A/B/C/D evidence layers, the three-map rule, dossier/ledger workflow, reader-facing deliverables, and later fieldwork, mapping, and route development. Condition: complete and readable. I inspected its contents, not merely its filename.</w:t>
      </w:r>
    </w:p>
    <w:p>
      <w:pPr>
        <w:spacing w:after="80"/>
        <w:ind w:left="360" w:hanging="360"/>
      </w:pPr>
      <w:r>
        <w:rPr>
          <w:b/>
          <w:color w:val="18324A"/>
        </w:rPr>
        <w:t xml:space="preserve">2.  </w:t>
      </w:r>
      <w:r>
        <w:t>01_Radhakunda_Research_Dossier_v0.4.docx</w:t>
      </w:r>
    </w:p>
    <w:p>
      <w:pPr>
        <w:keepLines w:val="0"/>
      </w:pPr>
      <w:r>
        <w:t>Version: v0.4. Function: the controlling synthesis and claim register for the Rādhā-kuṇḍa prototype. It integrates the textual foundation, nitya-līlā geography, people, early Gauḍīya history, site status, negative findings, and open questions retained from the specialist ledgers. Condition: complete and readable.</w:t>
      </w:r>
    </w:p>
    <w:p>
      <w:pPr>
        <w:spacing w:after="80"/>
        <w:ind w:left="360" w:hanging="360"/>
      </w:pPr>
      <w:r>
        <w:rPr>
          <w:b/>
          <w:color w:val="18324A"/>
        </w:rPr>
        <w:t xml:space="preserve">3.  </w:t>
      </w:r>
      <w:r>
        <w:t>RK-02_Radhakunda_Nitya-lila_and_Sacred_Geography_Research_Ledger_v0.2.docx</w:t>
      </w:r>
    </w:p>
    <w:p>
      <w:pPr>
        <w:keepLines w:val="0"/>
      </w:pPr>
      <w:r>
        <w:t>Version: v0.2. Function: the verse-level specialist ledger for Govinda-līlāmṛta and Kṛṣṇa-bhāvanāmṛta geography, including the twin-kuṇḍa architecture, aṣṭa-sakhī directional mandala, Anaṅga Mañjarī’s central dwelling, Lalitā’s micro-geography, the priya-narma-sakhā system, seasonal geography, and the aṣṭa-kālīya route. Condition: complete and readable.</w:t>
      </w:r>
    </w:p>
    <w:p>
      <w:pPr>
        <w:spacing w:after="80"/>
        <w:ind w:left="360" w:hanging="360"/>
      </w:pPr>
      <w:r>
        <w:rPr>
          <w:b/>
          <w:color w:val="18324A"/>
        </w:rPr>
        <w:t xml:space="preserve">4.  </w:t>
      </w:r>
      <w:r>
        <w:t>RK-03_Radhakunda_People_of_the_Landscape_Research_Ledger_v0.3.docx</w:t>
      </w:r>
    </w:p>
    <w:p>
      <w:pPr>
        <w:keepLines w:val="0"/>
      </w:pPr>
      <w:r>
        <w:t>Version: v0.3. Function: the controlled social and service map of the Rādhā-kuṇḍa landscape. It distinguishes sakhīs, mañjarīs/kiṅkarīs, organizers and messengers, priya-narma-sakhās, and the household/social-cover world, while retaining contested identities and variant lists. Condition: complete and readable.</w:t>
      </w:r>
    </w:p>
    <w:p>
      <w:pPr>
        <w:spacing w:after="80"/>
        <w:ind w:left="360" w:hanging="360"/>
      </w:pPr>
      <w:r>
        <w:rPr>
          <w:b/>
          <w:color w:val="18324A"/>
        </w:rPr>
        <w:t xml:space="preserve">5.  </w:t>
      </w:r>
      <w:r>
        <w:t>RK-04_Radhakunda_Caitanya_Gosvamis_and_Gaudiya_History_Research_Ledger_v0.3.docx</w:t>
      </w:r>
    </w:p>
    <w:p>
      <w:pPr>
        <w:keepLines w:val="0"/>
      </w:pPr>
      <w:r>
        <w:t>Version: v0.3. Function: the specialist ledger for Mahāprabhu’s reidentification, Raghunātha dāsa’s residence and restoration memory, Jīva’s institutional role, Kṛṣṇadāsa Kavirāja, Jāhnavā, and the two Śrīnivāsa/Narottama pilgrimage episodes. Condition: complete and readable. Its unresolved documentary questions appropriately point forward to RK-05.</w:t>
      </w:r>
    </w:p>
    <w:p>
      <w:pPr>
        <w:pStyle w:val="Heading2"/>
        <w:keepNext/>
      </w:pPr>
      <w:r>
        <w:t>Important sources actually inspected in the local library</w:t>
      </w:r>
    </w:p>
    <w:p>
      <w:pPr>
        <w:keepLines w:val="0"/>
      </w:pPr>
      <w:r>
        <w:t>A — Primary scripture/Gosvāmī materials: searchable or inspectable witnesses are present for Govinda-līlāmṛta, Kṛṣṇa-bhāvanāmṛta, Vraja-rīti-cintāmaṇi, Mathurā-māhātmya, Stavāvalī (including Vilāpa-kusumāñjali), Rādhā-Kṛṣṇa-gaṇoddeśa-dīpikā, Muktā-carita, Dāna-keli-kaumudī, Kṛṣṇa-līlā-stava, Gopāla-campū Pūrva and Uttara materials, Ānanda-vṛndāvana-campū, Garga-saṁhitā, and Gaura-gaṇoddeśa-dīpikā. Their practical quality varies and is audited in Section 8. Vraja-bhakti-vilāsa is intentionally classified under B, not A.</w:t>
      </w:r>
    </w:p>
    <w:p>
      <w:pPr>
        <w:keepLines w:val="0"/>
      </w:pPr>
      <w:r>
        <w:t>B — Early pilgrimage/localization materials: Bhakti Ratnakara all.doc was inspected and is navigable through the project’s researched blocks; it reaches Chapter/Taraṅga 15 but terminates without a final chapter close or work colophon, so completeness is not yet proven. The printed Bengali scan supplies a verification witness but is image-based. Vraja-bhakti-vilāsa and Vraja-rīti-cintāmaṇi working texts were also inspected; Vraja-bhakti-vilāsa is a principal B-level early pilgrimage/localization witness.</w:t>
      </w:r>
    </w:p>
    <w:p>
      <w:pPr>
        <w:keepLines w:val="0"/>
      </w:pPr>
      <w:r>
        <w:t>C — Later/local tradition: Ananta Dāsa Bābājī’s The Glory and Heritage of Sri Sri Radhakund was inspected in the English scan, especially the historical/property discussion around PDF pages 100–115 (printed pages approximately 88–103). Its 1642/1842 inconsistency is material and cannot control documentary chronology without archival corroboration.</w:t>
      </w:r>
    </w:p>
    <w:p>
      <w:pPr>
        <w:keepLines w:val="0"/>
      </w:pPr>
      <w:r>
        <w:t>D — Documentary and historical materials: Mukherjee and Habib, “Land Rights in the Reign of Akbar”; Mukherjee and Wright, “An Early Testamentary Document in Sanskrit”; Irfan Habib and Tarapada Mukherjee, Braj Bhum in Mughal Times; A. W. Entwistle, Braj: Centre of Krishna Pilgrimage; F. S. Growse, Mathura: A District Memoir; D. L. Drake-Brockman, Muttra: A Gazetteer; and the documentary reproductions/summaries in Ananta Dāsa were opened and inspected. The Mukherjee/Habib and Mukherjee/Wright studies substantially improve source control because they expose the deed calendar, legal vocabulary, dates, identities, and succession structure behind later summaries.</w:t>
      </w:r>
    </w:p>
    <w:p>
      <w:pPr>
        <w:pStyle w:val="Heading2"/>
        <w:keepNext/>
      </w:pPr>
      <w:r>
        <w:t>Missing, incomplete, image-only, or difficult witnesses</w:t>
      </w:r>
    </w:p>
    <w:p>
      <w:pPr>
        <w:pStyle w:val="ListBullet"/>
      </w:pPr>
      <w:r>
        <w:t>No standalone local critical/searchable edition of Śrīmad-Bhāgavatam or Caitanya-caritāmṛta was found. The canonical ledgers preserve checked passages, but publication work should add stable local editions.</w:t>
      </w:r>
    </w:p>
    <w:p>
      <w:pPr>
        <w:pStyle w:val="ListBullet"/>
      </w:pPr>
      <w:r>
        <w:t>The older books/Krsna Lila Stava.doc announces that it is incomplete. It is superseded for completeness by sri-krsna-lila-stava_-_sanatana_gosvamin.docx.</w:t>
      </w:r>
    </w:p>
    <w:p>
      <w:pPr>
        <w:pStyle w:val="ListBullet"/>
      </w:pPr>
      <w:r>
        <w:t>Govinda-lilamrta-1.pdf is a 242-page image-only printed witness; it is useful for visual verification, not rapid retrieval.</w:t>
      </w:r>
    </w:p>
    <w:p>
      <w:pPr>
        <w:pStyle w:val="ListBullet"/>
      </w:pPr>
      <w:r>
        <w:t>The Kṛṣṇa-bhāvanāmṛta Bengali/Sanskrit scan has an imperfect text layer. Discovery should use the searchable text/translation witnesses and verification should return to the printed scan.</w:t>
      </w:r>
    </w:p>
    <w:p>
      <w:pPr>
        <w:pStyle w:val="ListBullet"/>
      </w:pPr>
      <w:r>
        <w:t>The complete Bhakti-ratnākara working file is searchable and navigable, but a publication-quality, fully searchable Bengali witness is not present. The Bengali scan is image-only; the Jāhnavā block still specifically requires direct printed-Bengali verification.</w:t>
      </w:r>
    </w:p>
    <w:p>
      <w:pPr>
        <w:pStyle w:val="ListBullet"/>
      </w:pPr>
      <w:r>
        <w:t>The Gopāla-campū Pūrva Sanskrit/Hindi OCR file is very large and noisy. It establishes representation, not a clean critical text. Uttara is represented by a much cleaner Sanskrit DOCX.</w:t>
      </w:r>
    </w:p>
    <w:p>
      <w:pPr>
        <w:pStyle w:val="ListBullet"/>
      </w:pPr>
      <w:r>
        <w:t>Several printed scans—Vraja-bhakti-vilāsa, Mathurā-māhātmya, Ānanda-vṛndāvana-campū, Garga-saṁhitā, and others—are image-only or only partially searchable.</w:t>
      </w:r>
    </w:p>
    <w:p>
      <w:pPr>
        <w:pStyle w:val="ListBullet"/>
      </w:pPr>
      <w:r>
        <w:t>Growse is searchable but has joined-word/OCR defects. Gazetteer citations must be checked visually.</w:t>
      </w:r>
    </w:p>
    <w:p>
      <w:pPr>
        <w:pStyle w:val="ListBullet"/>
      </w:pPr>
      <w:r>
        <w:t>No local Survey of India sheet 54 E/6 was found. Historical cartography therefore remains a real RK-05 gap.</w:t>
      </w:r>
    </w:p>
    <w:p>
      <w:pPr>
        <w:pStyle w:val="ListBullet"/>
      </w:pPr>
      <w:r>
        <w:t>The archival studies transcribe or calendar important documents, but facsimiles of every underlying deed are not consistently present in the project library.</w:t>
      </w:r>
    </w:p>
    <w:p>
      <w:pPr>
        <w:pStyle w:val="Heading1"/>
        <w:keepNext/>
      </w:pPr>
      <w:r>
        <w:t>SECTION 2 — EXPLAIN THE PROJECT IN YOUR OWN WORDS</w:t>
      </w:r>
    </w:p>
    <w:p>
      <w:pPr>
        <w:keepLines w:val="0"/>
      </w:pPr>
      <w:r>
        <w:t>The Govardhana Pilgrimage project is intended to become a comprehensive scholarly and devotional account of the sacred Govardhana landscape, eventually encompassing approximately seventy-one pilgrimage places. That number is an organizing horizon, not the book’s governing literary form. The project is expressly not meant to become a directory in which each site receives an isolated paragraph, a legend, and a modern location. Its central insight is that sacred places become intelligible through connected stories, textual geographies, communities of service, historical localization, and movement through the land. The research therefore begins with narrative and relationship—“story first”—before it divides the landscape into individual entries.</w:t>
      </w:r>
    </w:p>
    <w:p>
      <w:pPr>
        <w:keepLines w:val="0"/>
      </w:pPr>
      <w:r>
        <w:t>Rādhā-kuṇḍa is the prototype because it concentrates nearly every difficulty the larger book must solve. It is simultaneously a place in Kṛṣṇa-līlā theology, a highly detailed nitya-līlā landscape in Gosvāmī literature, a network of named associates and services, an early Gauḍīya residence and pilgrimage center, a historically developed pair of tanks, and a modern settlement full of shrines, ghāṭs, roads, institutions, and local memories. The Rādhā-kuṇḍa Story is therefore being built from specialist ledgers rather than written prematurely from a collection of appealing traditions. The present dossier and RK-02 through RK-04 establish the textual foundation, sacred geography, people, and early Gauḍīya history. RK-05 will add the historical and physical development required before the first complete reader-facing chapter can responsibly be drafted.</w:t>
      </w:r>
    </w:p>
    <w:p>
      <w:pPr>
        <w:keepLines w:val="0"/>
      </w:pPr>
      <w:r>
        <w:t>That Rādhā-kuṇḍa chapter will test the architecture and voice of the eventual book. It must allow an ordinary reader or pilgrim to understand what happened, why the place matters, who inhabits its devotional imagination, and how the landscape is encountered. At the same time, a scholarly source apparatus must preserve exact loci, original wording, translations, evidence levels, disputed readings, negative findings, and localization cautions. Those are complementary products: the chapter should be lucid and alive, while the ledgers and notes make every important statement auditable. The reader-facing prose must never gain smoothness by silently erasing the differences among primary theology, early pilgrimage memory, later local tradition, and documentary history.</w:t>
      </w:r>
    </w:p>
    <w:p>
      <w:pPr>
        <w:keepLines w:val="0"/>
      </w:pPr>
      <w:r>
        <w:t>Once that prototype has been researched, drafted, and revised with the user, the project should broaden into the Govardhana Story. That larger narrative will explain Govardhana as a connected sacred world—its major līlās, theological meanings, pilgrimage history, natural and built landscape, communities, and routes—before the approximately seventy-one individual place entries are written. The later entries will then sit inside an already intelligible whole. They will be able to cross-reference one another and the main story rather than repeating fragments or presenting mutually connected events as separate curiosities.</w:t>
      </w:r>
    </w:p>
    <w:p>
      <w:pPr>
        <w:keepLines w:val="0"/>
      </w:pPr>
      <w:r>
        <w:t>“Continuous sacred landscapes” is therefore a crucial end state. Places connected by one episode, route, water system, devotional community, or historical development should eventually be presented together. The movement from Rādhā-kuṇḍa to Mālyahāri, Mukharāi, Govardhana, Mānasi-gaṅgā, or other linked places may belong to different textual or pilgrimage routes; those routes must be mapped without being conflated. The final work should help the reader see both distinction and continuity.</w:t>
      </w:r>
    </w:p>
    <w:p>
      <w:pPr>
        <w:keepLines w:val="0"/>
      </w:pPr>
      <w:r>
        <w:t>Maps, images, field observation, and walking routes come late for a reason. Textual nitya-līlā geography, early pilgrimage localization, and documented physical geography are not the same map. Only after those layers are separately reconstructed should fieldwork test present access, distances, sight lines, water flows, shrine claims, and viable walking connections. The finished pilgrimage book can then combine narrative chapters, individual entries, source notes, historical and devotional maps, photographs or illustrations, and practical routes. Its ambition is not merely to say that seventy-one sacred places exist, but to let the reader understand how Govardhana’s stories, texts, people, histories, waters, and paths form a coherent yet carefully layered sacred landscape.</w:t>
      </w:r>
    </w:p>
    <w:p>
      <w:pPr>
        <w:pStyle w:val="Heading1"/>
        <w:keepNext/>
      </w:pPr>
      <w:r>
        <w:t>SECTION 3 — METHODOLOGY TEST</w:t>
      </w:r>
    </w:p>
    <w:p>
      <w:pPr>
        <w:pStyle w:val="Heading2"/>
        <w:keepNext/>
      </w:pPr>
      <w:r>
        <w:t>The A/B/C/D evidence system</w:t>
      </w:r>
    </w:p>
    <w:p>
      <w:pPr>
        <w:keepLines w:val="0"/>
      </w:pPr>
      <w:r>
        <w:t>A — Primary scripture/Gosvāmī. This layer includes scripture and the writings of Caitanya/Gosvāmī authors used for theological claims, līlā, identities, services, and primary sacred geography. Examples: Śrīmad-Bhāgavatam 10.36 establishes the Ariṣṭāsura episode but not the twin-kuṇḍa manifestation; Govinda-līlāmṛta 7.1–117 describes Rādhā-kuṇḍa’s nitya-līlā architecture, setu, aṣṭa-sakhī sectors, central Anaṅga Mañjarī dwelling, and sakhā kuñjas. Mathurā-māhātmya 418–423 and Vilāpa-kusumāñjali 97 are further A examples.</w:t>
      </w:r>
    </w:p>
    <w:p>
      <w:pPr>
        <w:keepLines w:val="0"/>
      </w:pPr>
      <w:r>
        <w:t>B — Early Vraja pilgrimage/localization. This layer records the early devotional itinerary and localization tradition, without pretending to be either direct līlā revelation or modern cadastral history. Examples: Bhakti-ratnākara 5.545–553 remembers desilting/excavation and the Pāṇḍava trees; Bhakti-ratnākara 5.583–606 describes Rāghava Paṇḍita’s text-guided micro-parikramā with Śrīnivāsa and Narottama. Vraja-bhakti-vilāsa is another B-layer witness.</w:t>
      </w:r>
    </w:p>
    <w:p>
      <w:pPr>
        <w:keepLines w:val="0"/>
      </w:pPr>
      <w:r>
        <w:t>C — Later/local tradition. This layer preserves living and later received claims but does not automatically backdate them. Examples: the present northern-bank Jāhnavā Ghāṭ, baithak, bakula tree, and temple complex; the claim that a surviving Raghunātha bhajana-kuṭīra or Gopāla Bhaṭṭa kuṭīra occupies the exact early footprint. Ananta Dāsa’s historical and local narratives are valuable C evidence when not independently secured by D documents.</w:t>
      </w:r>
    </w:p>
    <w:p>
      <w:pPr>
        <w:keepLines w:val="0"/>
      </w:pPr>
      <w:r>
        <w:t>D — Historical/documentary. This layer includes deeds, administrative records, maps, inscriptions, gazetteers, and critical documentary studies. Examples: the 2 June 1588 Persian declaration says that Raghunātha had purchased six plots near the tank for a stated aggregate price of Rs.238 and then gave those plots to Jīva by hiba; the AH 1052/1642 undertaking protects the nālā associated with Rādhā-kuṇḍa and restricts cultivation/tree damage. The 1637 Sanskrit/Hindi testamentary declaration and Drake-Brockman’s report of the Lala Babu stone works are additional D evidence.</w:t>
      </w:r>
    </w:p>
    <w:p>
      <w:pPr>
        <w:pStyle w:val="Heading2"/>
        <w:keepNext/>
      </w:pPr>
      <w:r>
        <w:t>The Three-Map Principle</w:t>
      </w:r>
    </w:p>
    <w:p>
      <w:pPr>
        <w:keepLines w:val="0"/>
      </w:pPr>
      <w:r>
        <w:t>Map 1 is nitya-līlā/textual geography: the eternal service landscape described in texts such as Govinda-līlāmṛta and Kṛṣṇa-bhāvanāmṛta. Map 2 is early pilgrimage/localization geography: the sites and routes recognized in works such as Bhakti-ratnākara. Map 3 is historically documented and present physical geography: deeds, watercourses, roads, gardens, buildings, ghāṭs, survey maps, and today’s visible landscape.</w:t>
      </w:r>
    </w:p>
    <w:p>
      <w:pPr>
        <w:keepLines w:val="0"/>
      </w:pPr>
      <w:r>
        <w:t>Confusing the maps would produce false claims in at least these cases:</w:t>
      </w:r>
    </w:p>
    <w:p>
      <w:pPr>
        <w:pStyle w:val="ListBullet"/>
      </w:pPr>
      <w:r>
        <w:t>Govinda-līlāmṛta 7.6 describes a jeweled or wonderful supported bridge at the eternal saṅgama. It does not prove that the present masonry causeway occupies the same footprint or preserves the same structure.</w:t>
      </w:r>
    </w:p>
    <w:p>
      <w:pPr>
        <w:pStyle w:val="ListBullet"/>
      </w:pPr>
      <w:r>
        <w:t>Govinda-līlāmṛta places Subalānandadā/Mānasa-pāvana in the Vāyu or northwest direction, while Bhakti-ratnākara 5.599 says north of Śyāma-kuṇḍa. A present northern ghāṭ cannot be used to erase this A/B difference.</w:t>
      </w:r>
    </w:p>
    <w:p>
      <w:pPr>
        <w:pStyle w:val="ListBullet"/>
      </w:pPr>
      <w:r>
        <w:t>Govinda-līlāmṛta’s eight directional sakhī sectors are secure as nitya-līlā geography; a modern shrine or property bearing a sakhī’s name is not thereby an early or exact physical localization of that sector.</w:t>
      </w:r>
    </w:p>
    <w:p>
      <w:pPr>
        <w:pStyle w:val="ListBullet"/>
      </w:pPr>
      <w:r>
        <w:t>Bhakti-ratnākara attests an early Gopāla Bhaṭṭa kuṭīra in the pilgrimage landscape. It does not prove that the present structure is the same building or even the exact historical footprint.</w:t>
      </w:r>
    </w:p>
    <w:p>
      <w:pPr>
        <w:pStyle w:val="ListBullet"/>
      </w:pPr>
      <w:r>
        <w:t>Bhakti-ratnākara’s kadamba in Jāhnavā’s vision cannot automatically be identified with the later baithak’s bakula, still less with retellings that substitute tamāla.</w:t>
      </w:r>
    </w:p>
    <w:p>
      <w:pPr>
        <w:keepLines w:val="0"/>
      </w:pPr>
      <w:r>
        <w:t>Negative findings are essential because they define the boundary of what a source can bear. ŚB 10.36 does not narrate Rādhā’s accusation or the manifestation of the two lakes. The recovered Jāhnavā passage does not name the northern bank or a Jāhnavā Ghāṭ. A legal record of land or succession does not by itself authenticate every later memorial on that land. These absences prevent traditional or plausible claims from being promoted to the wrong evidence level.</w:t>
      </w:r>
    </w:p>
    <w:p>
      <w:pPr>
        <w:keepLines w:val="0"/>
      </w:pPr>
      <w:r>
        <w:t>Exact words can change the historical ruling. Lupta in CC Madhya 18.5 means lost, obscured, or no longer recognized; it supports “reidentification,” not creation. Paṅkoddhāra denotes removal of mud or silt; khodāila says the lakes were caused to be dug/excavated, so the Bhakti-ratnākara episode was more substantial than routine cleaning, yet it still does not mean Raghunātha created the sacred waters. Hiba is a legal gift, not a purchase. Precision at the word level is therefore not pedantry; it is what keeps theology, pilgrimage memory, and property history from being rewritten into a single inaccurate story.</w:t>
      </w:r>
    </w:p>
    <w:p>
      <w:pPr>
        <w:pStyle w:val="Heading1"/>
        <w:keepNext/>
      </w:pPr>
      <w:r>
        <w:t>SECTION 4 — CURRENT RĀDHĀ-KUṆḌA STATE OF KNOWLEDGE</w:t>
      </w:r>
    </w:p>
    <w:p>
      <w:pPr>
        <w:pStyle w:val="Heading2"/>
        <w:keepNext/>
      </w:pPr>
      <w:r>
        <w:t>Textual foundation</w:t>
      </w:r>
    </w:p>
    <w:p>
      <w:pPr>
        <w:keepLines w:val="0"/>
      </w:pPr>
      <w:r>
        <w:t>Śrīmad-Bhāgavatam 10.36 is the scriptural foundation for the Ariṣṭāsura event: the bull-demon attacks, Kṛṣṇa kills him, and Kṛṣṇa returns to the cowherd community. The root chapter does not include Rādhā’s accusation that Kṛṣṇa is impure for killing a bull, Kṛṣṇa’s summoning of the tīrthas, Rādhā and the sakhīs digging Her lake, the waters joining, or the comparative praise of the two kuṇḍas. The fuller twin-kuṇḍa manifestation narrative is preserved in Gauḍīya tradition through Viśvanātha Cakravartī’s commentary at ŚB 10.36.16 as a twenty-verse Purāṇic account. Its precise Purāṇic work and recension have not yet been independently secured, so the project must not invent a title.</w:t>
      </w:r>
    </w:p>
    <w:p>
      <w:pPr>
        <w:keepLines w:val="0"/>
      </w:pPr>
      <w:r>
        <w:t>The companion lake’s name is also historical evidence. Early Gauḍīya witnesses use Ariṣṭa-kuṇḍa, Ariṣṭa-saras, or Kṛṣṇa-kuṇḍa; the earliest secure ordinary use of Śyāma-kuṇḍa remains open. Rūpa Gosvāmī’s Mathurā-māhātmya 418–423 establishes the paired tīrthas, the Kārttika/Bahulāṣṭamī bathing context, and the principle of 421: Rādhā’s kuṇḍa is dear because Rādhā is dear. Raghunātha dāsa’s stotras make this not only a tīrtha of merit but the lived abode of Rādhā-Mādhava’s daily play and the desired home of Rādhā-dāsya. Vilāpa-kusumāñjali 97 is the clearest devotional residence anchor.</w:t>
      </w:r>
    </w:p>
    <w:p>
      <w:pPr>
        <w:pStyle w:val="Heading2"/>
        <w:keepNext/>
      </w:pPr>
      <w:r>
        <w:t>Nitya-līlā geography</w:t>
      </w:r>
    </w:p>
    <w:p>
      <w:pPr>
        <w:keepLines w:val="0"/>
      </w:pPr>
      <w:r>
        <w:t>Govinda-līlāmṛta Sarga 7 provides the controlling static map. Kṛṣṇa turns back by another path and comes to Rādhā-kuṇḍa (7.1). Jeweled steps, four cardinal tīrthas, pavilions, platforms, swings, paths, groves, supplies, and hundreds of servants make it a fully functioning service environment. At the east/southeast meeting with the beloved companion lake, 7.6 describes a supported bridge above the saṅgama; continuity with the modern causeway is unproved.</w:t>
      </w:r>
    </w:p>
    <w:p>
      <w:pPr>
        <w:keepLines w:val="0"/>
      </w:pPr>
      <w:r>
        <w:t>The eight principal sakhīs form a directional mandala around Rādhā-kuṇḍa: Lalitā north, Viśākhā northeast, Citrā east, Indulekhā southeast, Campakalatā south, Raṅgadevī southwest, Tuṅgavidyā west, and Sudevī northwest. Kṛṣṇa-bhāvanāmṛta 14.10 corroborates this order. In the water’s center, Anaṅga Mañjarī occupies a sixteen-petalled salila-kamala dwelling with a bridge on the northern side. She is a vara-sakhī in the controlling textual description and should not be silently flattened into every later mañjarī taxonomy.</w:t>
      </w:r>
    </w:p>
    <w:p>
      <w:pPr>
        <w:keepLines w:val="0"/>
      </w:pPr>
      <w:r>
        <w:t>Lalitā’s northern sector contains its own micro-map—Anaṅga-raṅgāmbuja, Lalitānandada, Vasanta-sukhada, Padma-mandira, Hindola-kuṭṭima/Madanāndolana, Mādhavānandada, and directional lotus groves. Śyāma/Ariṣṭa-kuṇḍa has a related but separate priya-narma-sakhā network involving Subala, Madhumaṅgala, Ujjvala, Arjuna, Gandharva, Vidagdha, Bhṛṅga, Kokila, and others. Govinda-līlāmṛta 7.111–117 says these kuñjas are divided/assigned to Rādhā, Lalitā, and the other sakhīs, but the precise philology and motive remain open.</w:t>
      </w:r>
    </w:p>
    <w:p>
      <w:pPr>
        <w:keepLines w:val="0"/>
      </w:pPr>
      <w:r>
        <w:t>Kṛṣṇa-bhāvanāmṛta adds a six-season service geography and a dynamic route. The texts should not be forced into one oversimplified chronology, but the broad movement is clear: appointments and socially plausible pretexts; separate routes; convergence at the kuṇḍa; grove interaction; seasonal wandering and swing play; return to the twin lakes for water play; dice and other intimate services; then separation and the Sūrya/household closure. A crucial social conclusion is that Kṛṣṇa returns to the cowherd sakhās before going home at the end of the midday cycle.</w:t>
      </w:r>
    </w:p>
    <w:p>
      <w:pPr>
        <w:pStyle w:val="Heading2"/>
        <w:keepNext/>
      </w:pPr>
      <w:r>
        <w:t>People and sevā ecology</w:t>
      </w:r>
    </w:p>
    <w:p>
      <w:pPr>
        <w:keepLines w:val="0"/>
      </w:pPr>
      <w:r>
        <w:t>The aṣṭa-sakhīs are not decorative directional labels. They govern sectors, arts, strategies, access, counsel, and the emotional/social organization of service. The mañjarī/kiṅkarī world supplies intimate operational service; named lists and identities must be cited from their specific witnesses rather than merged into a universal roster. Vṛndā organizes forests, seasons, routes, and service environments. Paurṇamāsī oversees the larger social and providential design. Kundalatā and Nandīmukhī mediate messages, meetings, public explanations, games, and social cover. Tulasī is securely an intimate operational servant and messenger in Govinda-līlāmṛta; her equation with Rati Mañjarī and Bhānumatī remains a textual-genealogy problem.</w:t>
      </w:r>
    </w:p>
    <w:p>
      <w:pPr>
        <w:keepLines w:val="0"/>
      </w:pPr>
      <w:r>
        <w:t>Subala, Madhumaṅgala, Ujjvala, and the priya-narma-sakhās know Kṛṣṇa’s confidential affairs, facilitate meetings, provide counsel and comedy, and maintain a distinct male-companion kuñja network around the companion lake. Jatilā, Abhimanyu, Kuṭilā, Mukharā, and other household figures create the social-cover world within which clandestine movement has meaning. Rādhā-kuṇḍa is consequently best understood as a sevā ecology: water, groves, routes, architecture, seasons, friends, messengers, servants, elders, and apparent obstacles all function together.</w:t>
      </w:r>
    </w:p>
    <w:p>
      <w:pPr>
        <w:pStyle w:val="Heading2"/>
        <w:keepNext/>
      </w:pPr>
      <w:r>
        <w:t>Caitanya/Gosvāmī history</w:t>
      </w:r>
    </w:p>
    <w:p>
      <w:pPr>
        <w:keepLines w:val="0"/>
      </w:pPr>
      <w:r>
        <w:t>CC Madhya 18.3–15 places Mahāprabhu at the inhabited Āriṭ-grāma. Local residents and the accompanying brāhmaṇa cannot identify Rādhā-kuṇḍa; 18.5 calls the tīrtha lupta and describes little water in two paddy fields. The preferred wording is authoritative Gauḍīya reidentification or rediscovery of an obscured tīrtha—not creation and not the later excavation of the present complex.</w:t>
      </w:r>
    </w:p>
    <w:p>
      <w:pPr>
        <w:keepLines w:val="0"/>
      </w:pPr>
      <w:r>
        <w:t>Raghunātha dāsa’s own prayers establish his Rādhā-kuṇḍa-centered bhajana. Bhakti-ratnākara later remembers an anonymous wealthy patron, a Badarikāśrama dream command, Raghunātha’s order for paṅkoddhāra, the engagement of many laborers, and careful excavation (khodāila). It also preserves the five Pāṇḍava trees at Mānasa-pāvana as the reason the companion lake was not made square, and the story that Raghunātha lived under a tree until Sanātana urged him to accept a kuṭīra after seeing danger nearby. These are strong B-layer memories, not archaeological proof of present footprints.</w:t>
      </w:r>
    </w:p>
    <w:p>
      <w:pPr>
        <w:keepLines w:val="0"/>
      </w:pPr>
      <w:r>
        <w:t>Jīva’s secure role is institutional, textual, custodial, and property-related; he was based in Vṛndāvana and connected Śrīnivāsa with the senior Rādhā-kuṇḍa circle. Permanent residence at a present Jīva site remains unproved. Kṛṣṇadāsa Kavirāja is securely under Raghunātha’s shelter and belongs to the literary and resident community remembered at the kuṇḍa; later composition-site and memorial-continuity claims require separate proof.</w:t>
      </w:r>
    </w:p>
    <w:p>
      <w:pPr>
        <w:keepLines w:val="0"/>
      </w:pPr>
      <w:r>
        <w:t>Bhakti-ratnākara remembers Jāhnavā’s multi-day visit, communal feeding, meeting with Raghunātha, and midday vision beneath a kadamba. The present northern baithak’s bakula, and retellings with tamāla, must remain separate. Finally, two Śrīnivāsa visits must not be collapsed: an earlier three-day visit sent by Jīva, and a later visit with Narottama guided by Rāghava Paṇḍita. The latter is a text-guided parikramā through the saṅgama, Mālyahāri, other sites, the Gosvāmī community, Mānasa-pāvana, Gopāla Bhaṭṭa’s kuṭīra, and onward to Mukharāi and Govardhana.</w:t>
      </w:r>
    </w:p>
    <w:p>
      <w:pPr>
        <w:pStyle w:val="Heading1"/>
        <w:keepNext/>
      </w:pPr>
      <w:r>
        <w:t>SECTION 5 — IMPORTANT OPEN QUESTIONS</w:t>
      </w:r>
    </w:p>
    <w:p>
      <w:pPr>
        <w:pStyle w:val="ListBullet"/>
      </w:pPr>
      <w:r>
        <w:t>What exact Purāṇic work and recension contain the twenty-verse fuller manifestation account preserved by Viśvanātha Cakravartī?</w:t>
      </w:r>
    </w:p>
    <w:p>
      <w:pPr>
        <w:pStyle w:val="ListBullet"/>
      </w:pPr>
      <w:r>
        <w:t>What is the earliest secure ordinary textual use of “Śyāma-kuṇḍa,” as distinct from Ariṣṭa-kuṇḍa, Ariṣṭa-saras, and Kṛṣṇa-kuṇḍa?</w:t>
      </w:r>
    </w:p>
    <w:p>
      <w:pPr>
        <w:pStyle w:val="ListBullet"/>
      </w:pPr>
      <w:r>
        <w:t>What is the exact reading, syntax, and immediate argument of Govinda-līlāmṛta 7.111–117?</w:t>
      </w:r>
    </w:p>
    <w:p>
      <w:pPr>
        <w:pStyle w:val="ListBullet"/>
      </w:pPr>
      <w:r>
        <w:t>Why are the priya-narma-sakhās’ kuñjas divided and offered/assigned to Rādhā, Lalitā, and the other sakhīs?</w:t>
      </w:r>
    </w:p>
    <w:p>
      <w:pPr>
        <w:pStyle w:val="ListBullet"/>
      </w:pPr>
      <w:r>
        <w:t>How should vibhajyārpitāḥ be parsed and translated in context?</w:t>
      </w:r>
    </w:p>
    <w:p>
      <w:pPr>
        <w:pStyle w:val="ListBullet"/>
      </w:pPr>
      <w:r>
        <w:t>How should sva-kāntāgrahato ’tisaṁskṛtaiḥ be parsed, and does it explain the assignment of the kuñjas?</w:t>
      </w:r>
    </w:p>
    <w:p>
      <w:pPr>
        <w:pStyle w:val="ListBullet"/>
      </w:pPr>
      <w:r>
        <w:t>What is the correct complete reading and name of Madhumaṅgala’s northern kuñja?</w:t>
      </w:r>
    </w:p>
    <w:p>
      <w:pPr>
        <w:pStyle w:val="ListBullet"/>
      </w:pPr>
      <w:r>
        <w:t>What is the textual genealogy of Tulasī Mañjarī = Rati Mañjarī = Bhānumatī, and where must those identities remain distinct?</w:t>
      </w:r>
    </w:p>
    <w:p>
      <w:pPr>
        <w:pStyle w:val="ListBullet"/>
      </w:pPr>
      <w:r>
        <w:t>How should the A-level northwest/Vāyu placement of Subalānandadā/Mānasa-pāvana be related to Bhakti-ratnākara’s B-level “north” localization?</w:t>
      </w:r>
    </w:p>
    <w:p>
      <w:pPr>
        <w:pStyle w:val="ListBullet"/>
      </w:pPr>
      <w:r>
        <w:t>Is the eternal setu/saṅgama description historically connected to the present causeway, and if so through what evidence?</w:t>
      </w:r>
    </w:p>
    <w:p>
      <w:pPr>
        <w:pStyle w:val="ListBullet"/>
      </w:pPr>
      <w:r>
        <w:t>Can any modern aṣṭa-sakhī or sakhā-kuñja shrine/property be traced to an early localization rather than later naming?</w:t>
      </w:r>
    </w:p>
    <w:p>
      <w:pPr>
        <w:pStyle w:val="ListBullet"/>
      </w:pPr>
      <w:r>
        <w:t>What relationship, if any, exists between Kṛṣṇa-bhāvanāmṛta’s Aśoka-kuñja and Vañjula-kuñja and Govinda-līlāmṛta’s named directional groves?</w:t>
      </w:r>
    </w:p>
    <w:p>
      <w:pPr>
        <w:pStyle w:val="ListBullet"/>
      </w:pPr>
      <w:r>
        <w:t>Is the Varṣā-harṣa lotus swing identical with Lalitā’s Hindola-kuṭṭima? Structural resonance is not identity.</w:t>
      </w:r>
    </w:p>
    <w:p>
      <w:pPr>
        <w:pStyle w:val="ListBullet"/>
      </w:pPr>
      <w:r>
        <w:t>What is the exact historical continuity of present Raghunātha, Kṛṣṇadāsa, Gopāla Bhaṭṭa, Jīva, and Jāhnavā memorial footprints?</w:t>
      </w:r>
    </w:p>
    <w:p>
      <w:pPr>
        <w:pStyle w:val="ListBullet"/>
      </w:pPr>
      <w:r>
        <w:t>How did the Jāhnavā vision-tree tradition move from Bhakti-ratnākara’s kadamba to the baithak’s bakula or later tamāla retellings?</w:t>
      </w:r>
    </w:p>
    <w:p>
      <w:pPr>
        <w:pStyle w:val="ListBullet"/>
      </w:pPr>
      <w:r>
        <w:t>What is the full documentary chronology of ghāṭs, temples, gardens, roads, tank walls, causeway, drainage, desilting, and other water engineering?</w:t>
      </w:r>
    </w:p>
    <w:p>
      <w:pPr>
        <w:pStyle w:val="ListBullet"/>
      </w:pPr>
      <w:r>
        <w:t>How should Bhakti-ratnākara’s Raghunātha-led excavation memory be related to eighteenth-century administrative language about Jīva or his successors building tanks and gardens?</w:t>
      </w:r>
    </w:p>
    <w:p>
      <w:pPr>
        <w:pStyle w:val="ListBullet"/>
      </w:pPr>
      <w:r>
        <w:t>What was the pre-development morphology of Āriṭ, its paddy fields, ponds, nālā, mounds, pathways, and settlement boundary?</w:t>
      </w:r>
    </w:p>
    <w:p>
      <w:pPr>
        <w:pStyle w:val="ListBullet"/>
      </w:pPr>
      <w:r>
        <w:t>Which precise historical maps document the changing tank shapes, settlement expansion, roads, and watercourses? Survey of India sheet 54 E/6 is presently absent.</w:t>
      </w:r>
    </w:p>
    <w:p>
      <w:pPr>
        <w:pStyle w:val="ListBullet"/>
      </w:pPr>
      <w:r>
        <w:t>Can the Jāhnavā block be verified directly against a printed Bengali Bhakti-ratnākara witness, including wording and verse numbering?</w:t>
      </w:r>
    </w:p>
    <w:p>
      <w:r>
        <w:br w:type="page"/>
      </w:r>
    </w:p>
    <w:p>
      <w:pPr>
        <w:pStyle w:val="Heading1"/>
        <w:keepNext/>
      </w:pPr>
      <w:r>
        <w:t>SECTION 6 — NEW DOCUMENTARY EVIDENCE AND CORRECTIONS</w:t>
      </w:r>
    </w:p>
    <w:p>
      <w:pPr>
        <w:pStyle w:val="Heading2"/>
        <w:keepNext/>
      </w:pPr>
      <w:r>
        <w:t>Correction 1 — The 1588 Raghunātha-to-Jīva transfer</w:t>
      </w:r>
    </w:p>
    <w:p>
      <w:pPr>
        <w:keepLines/>
      </w:pPr>
      <w:r>
        <w:rPr>
          <w:b/>
          <w:color w:val="18324A"/>
        </w:rPr>
        <w:t xml:space="preserve">OLD PROJECT RULING: </w:t>
      </w:r>
      <w:r>
        <w:t>A later summary could be read as saying that Raghunātha bought the two lakes for 238 rupees and then transferred them to Jīva.</w:t>
      </w:r>
    </w:p>
    <w:p>
      <w:pPr>
        <w:keepLines/>
      </w:pPr>
      <w:r>
        <w:rPr>
          <w:b/>
          <w:color w:val="1F4D78"/>
        </w:rPr>
        <w:t xml:space="preserve">NEW EVIDENCE: </w:t>
      </w:r>
      <w:r>
        <w:t>Mukherjee and Habib, “Land Rights in the Reign of Akbar,” pp. 237–239 and the document calendar at pp. 248–249, identifies Document 11/G.D. 8 as an original Persian declaration (copy in M.M.1), dated 7 Rajab 996 AH / 2 June 1588, bearing the seal of Qazi Badruddin Husain. It says that Raghunātha had purchased six plots near the tank for a stated aggregate price of Rs.238 and then made a hiba, gift, of them to Jīva. The study also cautions that the individual earlier-dated sale deeds are retrospective or fictitiously dated; the reconstruction of the acquisition sequence must therefore distinguish the secure 1588 declaration from the purported dates of the component purchases.</w:t>
      </w:r>
    </w:p>
    <w:p>
      <w:pPr>
        <w:keepLines/>
        <w:shd w:fill="EDF3F3"/>
        <w:spacing w:before="40" w:after="80"/>
        <w:ind w:left="115" w:right="115"/>
      </w:pPr>
      <w:r>
        <w:rPr>
          <w:b/>
          <w:color w:val="1F4D78"/>
        </w:rPr>
        <w:t xml:space="preserve">REVISED RULING: </w:t>
      </w:r>
      <w:r>
        <w:t>The secure claim is that the 2 June 1588 declaration records Raghunātha as having purchased six plots at Āriṭ for the stated aggregate price of Rs.238 and then transferring those plots to Jīva by hiba. Rs.238 is the stated aggregate purchase price of the earlier acquisitions; the 1588 transfer itself is a gift, not a Rs.238 sale. This still does not mean that Raghunātha “bought the two lakes for 238 rupees.”</w:t>
      </w:r>
    </w:p>
    <w:p>
      <w:pPr>
        <w:keepLines/>
        <w:shd w:fill="F5F6F6"/>
        <w:spacing w:before="40" w:after="80"/>
        <w:ind w:left="115" w:right="115"/>
      </w:pPr>
      <w:r>
        <w:rPr>
          <w:b/>
          <w:color w:val="1F4D78"/>
        </w:rPr>
        <w:t xml:space="preserve">CONFIDENCE: </w:t>
      </w:r>
      <w:r>
        <w:t>High for the 1588 declaration’s date, six plots, stated aggregate earlier purchase price, hiba, recipient, and deed identification; moderate for reconstructing when and how each earlier component acquisition actually occurred.</w:t>
      </w:r>
    </w:p>
    <w:p>
      <w:pPr>
        <w:keepLines/>
        <w:shd w:fill="F5F6F6"/>
        <w:spacing w:before="40" w:after="80"/>
        <w:ind w:left="115" w:right="115"/>
      </w:pPr>
      <w:r>
        <w:rPr>
          <w:b/>
          <w:color w:val="18324A"/>
        </w:rPr>
        <w:t xml:space="preserve">WHAT STILL NEEDS VERIFICATION: </w:t>
      </w:r>
      <w:r>
        <w:t>Direct inspection of the best available Persian facsimile/transcription; exact legal role of each named party; how the six plots relate spatially to the water bodies; whether “Raghunātha → Jīva” is a sufficient shorthand for the deed’s full party structure.</w:t>
      </w:r>
    </w:p>
    <w:p>
      <w:pPr>
        <w:pStyle w:val="Heading2"/>
        <w:keepNext/>
      </w:pPr>
      <w:r>
        <w:t>Correction 2 — The 1637 Sanskrit declaration and succession</w:t>
      </w:r>
    </w:p>
    <w:p>
      <w:pPr>
        <w:keepLines/>
      </w:pPr>
      <w:r>
        <w:rPr>
          <w:b/>
          <w:color w:val="18324A"/>
        </w:rPr>
        <w:t xml:space="preserve">OLD PROJECT RULING: </w:t>
      </w:r>
      <w:r>
        <w:t>The project depended largely on Entwistle’s report through Bansal for a 1637 document and risked conflating the declarant with Kṛṣṇadāsa Kavirāja.</w:t>
      </w:r>
    </w:p>
    <w:p>
      <w:pPr>
        <w:keepLines/>
      </w:pPr>
      <w:r>
        <w:rPr>
          <w:b/>
          <w:color w:val="1F4D78"/>
        </w:rPr>
        <w:t xml:space="preserve">NEW EVIDENCE: </w:t>
      </w:r>
      <w:r>
        <w:t>Mukherjee and J. C. Wright, “An Early Testamentary Document in Sanskrit,” pp. 316–318, provides the document and analysis. The 1637 declarant is Kṛṣṇadāsa, son of Bharatācārya—not Kṛṣṇadāsa Kavirāja. The declaration says that Rūpa, Sanātana, and Raghunātha conveyed books, premises, documents, and property to Jīva; Jīva transmitted them to Vilāsa; Vilāsa transmitted them to the declarant. Kṛṣṇadāsa then conveys the Rādhā-kuṇḍa premises—Raghunātha’s dwelling and the adjacent Jīva dwelling/garden—to Purohita Chaudhuri Śrī Kiśora Soti by kṛṣṇārpaṇa. The text separately refers to a prior settlement of Kṛṣṇadāsa Kavirāja’s dwelling to Haridāsa. Donor/recipient terminology must follow the exact act being described.</w:t>
      </w:r>
    </w:p>
    <w:p>
      <w:pPr>
        <w:keepLines/>
        <w:shd w:fill="EDF3F3"/>
        <w:spacing w:before="40" w:after="80"/>
        <w:ind w:left="115" w:right="115"/>
      </w:pPr>
      <w:r>
        <w:rPr>
          <w:b/>
          <w:color w:val="18324A"/>
        </w:rPr>
        <w:t xml:space="preserve">REVISED RULING: </w:t>
      </w:r>
      <w:r>
        <w:t>The project now has a directly studied Sanskrit documentary witness for a 1637 institutional/property succession. It supports the transmission of a Rādhā-kuṇḍa establishment and distinguishes two Kṛṣṇadāsas. It does not license calling the 1637 declarant Kṛṣṇadāsa Kavirāja.</w:t>
      </w:r>
    </w:p>
    <w:p>
      <w:pPr>
        <w:keepLines/>
        <w:shd w:fill="F5F6F6"/>
        <w:spacing w:before="40" w:after="80"/>
        <w:ind w:left="115" w:right="115"/>
      </w:pPr>
      <w:r>
        <w:rPr>
          <w:b/>
          <w:color w:val="18324A"/>
        </w:rPr>
        <w:t xml:space="preserve">CONFIDENCE: </w:t>
      </w:r>
      <w:r>
        <w:t>High for the identity distinction and succession sequence as presented by Mukherjee–Wright.</w:t>
      </w:r>
    </w:p>
    <w:p>
      <w:pPr>
        <w:keepLines/>
        <w:shd w:fill="F5F6F6"/>
        <w:spacing w:before="40" w:after="80"/>
        <w:ind w:left="115" w:right="115"/>
      </w:pPr>
      <w:r>
        <w:rPr>
          <w:b/>
          <w:color w:val="18324A"/>
        </w:rPr>
        <w:t xml:space="preserve">WHAT STILL NEEDS VERIFICATION: </w:t>
      </w:r>
      <w:r>
        <w:t>Exact site boundaries; the architectural meaning of “dwelling” in 1637; the relation of each named property to present memorials; full original-language checking in publication apparatus.</w:t>
      </w:r>
    </w:p>
    <w:p>
      <w:pPr>
        <w:pStyle w:val="Heading2"/>
        <w:keepNext/>
      </w:pPr>
      <w:r>
        <w:t>Correction 3 — AH 1052 / AD 1642, not 1842</w:t>
      </w:r>
    </w:p>
    <w:p>
      <w:pPr>
        <w:keepLines/>
      </w:pPr>
      <w:r>
        <w:rPr>
          <w:b/>
          <w:color w:val="18324A"/>
        </w:rPr>
        <w:t xml:space="preserve">OLD PROJECT RULING: </w:t>
      </w:r>
      <w:r>
        <w:t>A later local-history heading or retelling could place an administrative protection in 1842.</w:t>
      </w:r>
    </w:p>
    <w:p>
      <w:pPr>
        <w:keepLines/>
      </w:pPr>
      <w:r>
        <w:rPr>
          <w:b/>
          <w:color w:val="18324A"/>
        </w:rPr>
        <w:t xml:space="preserve">NEW EVIDENCE: </w:t>
      </w:r>
      <w:r>
        <w:t>Habib and Mukherjee, Braj Bhum in Mughal Times, ch. 8, p. 167, dates the relevant Bari Khan/Chand/Girdhar undertaking to AH 1052 / AD 1642. It concerns the nālā draining into Rādhā-kuṇḍa and restrictions on tillage and damage to trees around it. Ananta Dāsa’s scanned English account contains an internal chronological conflict: one passage says 1642 while a later heading says “6 May 1842.”</w:t>
      </w:r>
    </w:p>
    <w:p>
      <w:pPr>
        <w:keepLines/>
        <w:shd w:fill="EDF3F3"/>
        <w:spacing w:before="40" w:after="80"/>
        <w:ind w:left="115" w:right="115"/>
      </w:pPr>
      <w:r>
        <w:rPr>
          <w:b/>
          <w:color w:val="18324A"/>
        </w:rPr>
        <w:t xml:space="preserve">REVISED RULING: </w:t>
      </w:r>
      <w:r>
        <w:t>The archival chronology controls: 1642. The record is evidence of an already managed watercourse and protected land/tree environment in the seventeenth century. “1842” is a later textual error or mistransmission, not a competing archival date.</w:t>
      </w:r>
    </w:p>
    <w:p>
      <w:pPr>
        <w:keepLines/>
        <w:shd w:fill="F5F6F6"/>
        <w:spacing w:before="40" w:after="80"/>
        <w:ind w:left="115" w:right="115"/>
      </w:pPr>
      <w:r>
        <w:rPr>
          <w:b/>
          <w:color w:val="18324A"/>
        </w:rPr>
        <w:t xml:space="preserve">CONFIDENCE: </w:t>
      </w:r>
      <w:r>
        <w:t>High for AH 1052/1642 and the broad subject of the undertaking.</w:t>
      </w:r>
    </w:p>
    <w:p>
      <w:pPr>
        <w:keepLines/>
        <w:shd w:fill="F5F6F6"/>
        <w:spacing w:before="40" w:after="80"/>
        <w:ind w:left="115" w:right="115"/>
      </w:pPr>
      <w:r>
        <w:rPr>
          <w:b/>
          <w:color w:val="18324A"/>
        </w:rPr>
        <w:t xml:space="preserve">WHAT STILL NEEDS VERIFICATION: </w:t>
      </w:r>
      <w:r>
        <w:t>Exact date conversion/day; complete wording and parties in the underlying document; precise mapped course and hydraulic function of the nālā.</w:t>
      </w:r>
    </w:p>
    <w:p>
      <w:pPr>
        <w:pStyle w:val="Heading2"/>
        <w:keepNext/>
      </w:pPr>
      <w:r>
        <w:t>Correction 4 — Related 1645–46 protections</w:t>
      </w:r>
    </w:p>
    <w:p>
      <w:pPr>
        <w:keepLines/>
      </w:pPr>
      <w:r>
        <w:rPr>
          <w:b/>
          <w:color w:val="18324A"/>
        </w:rPr>
        <w:t xml:space="preserve">OLD PROJECT RULING: </w:t>
      </w:r>
      <w:r>
        <w:t>Mid-seventeenth-century environmental and access controls were known only vaguely through later narrative.</w:t>
      </w:r>
    </w:p>
    <w:p>
      <w:pPr>
        <w:keepLines/>
      </w:pPr>
      <w:r>
        <w:rPr>
          <w:b/>
          <w:color w:val="18324A"/>
        </w:rPr>
        <w:t xml:space="preserve">NEW EVIDENCE: </w:t>
      </w:r>
      <w:r>
        <w:t>Habib and Mukherjee, ch. 8, p. 168, cites records including RD 104 (1645–46 official action preventing tree cutting and the closing of access to a ghāṭ), RD 102 (10 November 1645 pledge not to till near the nālā or damage trees), and RD 12 (1646 protection of Jīva’s money-purchased land).</w:t>
      </w:r>
    </w:p>
    <w:p>
      <w:pPr>
        <w:keepLines/>
        <w:shd w:fill="EDF3F3"/>
        <w:spacing w:before="40" w:after="80"/>
        <w:ind w:left="115" w:right="115"/>
      </w:pPr>
      <w:r>
        <w:rPr>
          <w:b/>
          <w:color w:val="18324A"/>
        </w:rPr>
        <w:t xml:space="preserve">REVISED RULING: </w:t>
      </w:r>
      <w:r>
        <w:t>By 1645–46 the documentary record shows active protection of water access, trees, drainage-adjacent land, and property associated with Jīva’s establishment. This is evidence for management and conflict, not a complete reconstruction of tank engineering.</w:t>
      </w:r>
    </w:p>
    <w:p>
      <w:pPr>
        <w:keepLines/>
        <w:shd w:fill="F5F6F6"/>
        <w:spacing w:before="40" w:after="80"/>
        <w:ind w:left="115" w:right="115"/>
      </w:pPr>
      <w:r>
        <w:rPr>
          <w:b/>
          <w:color w:val="18324A"/>
        </w:rPr>
        <w:t xml:space="preserve">CONFIDENCE: </w:t>
      </w:r>
      <w:r>
        <w:t>High for the existence and broad content of the records as cited; moderate for fine-grained spatial interpretation.</w:t>
      </w:r>
    </w:p>
    <w:p>
      <w:pPr>
        <w:keepLines/>
        <w:shd w:fill="F5F6F6"/>
        <w:spacing w:before="40" w:after="80"/>
        <w:ind w:left="115" w:right="115"/>
      </w:pPr>
      <w:r>
        <w:rPr>
          <w:b/>
          <w:color w:val="18324A"/>
        </w:rPr>
        <w:t xml:space="preserve">WHAT STILL NEEDS VERIFICATION: </w:t>
      </w:r>
      <w:r>
        <w:t>Full translations/transcriptions of RD 102, RD 104, and RD 12; identification of the ghāṭ and plots; whether “money-purchased land” belongs to a phase distinct from the 1588 hiba.</w:t>
      </w:r>
    </w:p>
    <w:p>
      <w:pPr>
        <w:pStyle w:val="Heading2"/>
        <w:keepNext/>
      </w:pPr>
      <w:r>
        <w:t>Correction 5 — Development in the 1660s–70s</w:t>
      </w:r>
    </w:p>
    <w:p>
      <w:pPr>
        <w:keepLines/>
      </w:pPr>
      <w:r>
        <w:rPr>
          <w:b/>
          <w:color w:val="18324A"/>
        </w:rPr>
        <w:t xml:space="preserve">OLD PROJECT RULING: </w:t>
      </w:r>
      <w:r>
        <w:t>Later growth around the tanks was recognized, but the chronology of gardens, kuñjas, roads, settlement naming, and environmental protection was under-specified.</w:t>
      </w:r>
    </w:p>
    <w:p>
      <w:pPr>
        <w:keepLines/>
      </w:pPr>
      <w:r>
        <w:rPr>
          <w:b/>
          <w:color w:val="18324A"/>
        </w:rPr>
        <w:t xml:space="preserve">NEW EVIDENCE: </w:t>
      </w:r>
      <w:r>
        <w:t>Habib and Mukherjee, ch. 8, pp. 168–170, records a 1658 purchased plot/new kuñj and the Āriṭ road; a 1667 Rādhā-Kṛṣṇa temple; a 1669 protection involving the nālā and trees near Braj Kunwar’s kuñj (RD 57); and a 1676 parwāna protecting land and gardens (RD 95). The same study notes the naming transition: “Āriṭ also known as Rādhākuṇḍ” in 1579, while by 1676 the village could be called Rādhākuṇḍ alone.</w:t>
      </w:r>
    </w:p>
    <w:p>
      <w:pPr>
        <w:keepLines/>
        <w:shd w:fill="EDF3F3"/>
        <w:spacing w:before="40" w:after="80"/>
        <w:ind w:left="115" w:right="115"/>
      </w:pPr>
      <w:r>
        <w:rPr>
          <w:b/>
          <w:color w:val="18324A"/>
        </w:rPr>
        <w:t xml:space="preserve">REVISED RULING: </w:t>
      </w:r>
      <w:r>
        <w:t>The mid-to-late seventeenth century shows an expanding devotional settlement with protected land, gardens/kuñjas, a road, temple presence, and continuing water/tree regulation. The change from Āriṭ to Rādhā-kuṇḍ as settlement name was gradual, not instantaneous at Mahāprabhu’s visit.</w:t>
      </w:r>
    </w:p>
    <w:p>
      <w:pPr>
        <w:keepLines/>
        <w:shd w:fill="F5F6F6"/>
        <w:spacing w:before="40" w:after="80"/>
        <w:ind w:left="115" w:right="115"/>
      </w:pPr>
      <w:r>
        <w:rPr>
          <w:b/>
          <w:color w:val="18324A"/>
        </w:rPr>
        <w:t xml:space="preserve">CONFIDENCE: </w:t>
      </w:r>
      <w:r>
        <w:t>High for the documented sequence at the level reported; moderate for exact modern localization.</w:t>
      </w:r>
    </w:p>
    <w:p>
      <w:pPr>
        <w:keepLines/>
        <w:shd w:fill="F5F6F6"/>
        <w:spacing w:before="40" w:after="80"/>
        <w:ind w:left="115" w:right="115"/>
      </w:pPr>
      <w:r>
        <w:rPr>
          <w:b/>
          <w:color w:val="18324A"/>
        </w:rPr>
        <w:t xml:space="preserve">WHAT STILL NEEDS VERIFICATION: </w:t>
      </w:r>
      <w:r>
        <w:t>Individual document wording and dates; patrons and architectural continuity of the 1667 temple; plotted relationship among road, kuñjas, nālā, and settlement.</w:t>
      </w:r>
    </w:p>
    <w:p>
      <w:pPr>
        <w:pStyle w:val="Heading2"/>
        <w:keepNext/>
      </w:pPr>
      <w:r>
        <w:t>Correction 6 — 1710s–22 tanks, gardens, and management</w:t>
      </w:r>
    </w:p>
    <w:p>
      <w:pPr>
        <w:keepLines/>
      </w:pPr>
      <w:r>
        <w:rPr>
          <w:b/>
          <w:color w:val="18324A"/>
        </w:rPr>
        <w:t xml:space="preserve">OLD PROJECT RULING: </w:t>
      </w:r>
      <w:r>
        <w:t>A 1721–22 administrative summary that Jīva had “built lakes and gardens” risked being read as a simple eyewitness construction claim or as proof that Jīva created the sacred tanks.</w:t>
      </w:r>
    </w:p>
    <w:p>
      <w:pPr>
        <w:keepLines/>
      </w:pPr>
      <w:r>
        <w:rPr>
          <w:b/>
          <w:color w:val="18324A"/>
        </w:rPr>
        <w:t xml:space="preserve">NEW EVIDENCE: </w:t>
      </w:r>
      <w:r>
        <w:t>Habib and Mukherjee, ch. 8, pp. 170–173, presents a longer property history: a 1710 hiba involving both ponds and kuñjas; 1713/1716 access and control claims; a 1720 claim that Gopī Raman’s ancestor purchased land and established pond/garden works; post-1725 references to excavation-spoil mounds; a 1710 walled mud/brick, wood-roofed kuñj; a 1717 garden; and a 1722 gift described through surrounding plots and kuñjas.</w:t>
      </w:r>
    </w:p>
    <w:p>
      <w:pPr>
        <w:keepLines/>
        <w:shd w:fill="EDF3F3"/>
        <w:spacing w:before="40" w:after="80"/>
        <w:ind w:left="115" w:right="115"/>
      </w:pPr>
      <w:r>
        <w:rPr>
          <w:b/>
          <w:color w:val="18324A"/>
        </w:rPr>
        <w:t xml:space="preserve">REVISED RULING: </w:t>
      </w:r>
      <w:r>
        <w:t>The early eighteenth-century documents show inherited property claims, active gardens and kuñjas, built enclosures, access disputes, pond works, and settlement growth. Statements crediting Jīva or an ancestor with “building” tanks/gardens belong to property-memory and management claims; they must be reconciled with the earlier sacred and restoration traditions, not used to erase them.</w:t>
      </w:r>
    </w:p>
    <w:p>
      <w:pPr>
        <w:keepLines/>
        <w:shd w:fill="F5F6F6"/>
        <w:spacing w:before="40" w:after="80"/>
        <w:ind w:left="115" w:right="115"/>
      </w:pPr>
      <w:r>
        <w:rPr>
          <w:b/>
          <w:color w:val="18324A"/>
        </w:rPr>
        <w:t xml:space="preserve">CONFIDENCE: </w:t>
      </w:r>
      <w:r>
        <w:t>High that the documentary complex records these claims and developments; moderate to low for literal attribution of initial tank construction to any one person.</w:t>
      </w:r>
    </w:p>
    <w:p>
      <w:pPr>
        <w:keepLines/>
        <w:shd w:fill="F5F6F6"/>
        <w:spacing w:before="40" w:after="80"/>
        <w:ind w:left="115" w:right="115"/>
      </w:pPr>
      <w:r>
        <w:rPr>
          <w:b/>
          <w:color w:val="18324A"/>
        </w:rPr>
        <w:t xml:space="preserve">WHAT STILL NEEDS VERIFICATION: </w:t>
      </w:r>
      <w:r>
        <w:t>Exact dating around 1721–22; document-by-document speaker and legal purpose; archaeological or cartographic relation of spoil mounds to excavation phases; distinction between enlargement, embankment, desilting, and initial excavation.</w:t>
      </w:r>
    </w:p>
    <w:p>
      <w:pPr>
        <w:pStyle w:val="Heading2"/>
        <w:keepNext/>
      </w:pPr>
      <w:r>
        <w:t>Correction 7 — Early physical setting and later stone works</w:t>
      </w:r>
    </w:p>
    <w:p>
      <w:pPr>
        <w:keepLines/>
      </w:pPr>
      <w:r>
        <w:rPr>
          <w:b/>
          <w:color w:val="18324A"/>
        </w:rPr>
        <w:t xml:space="preserve">OLD PROJECT RULING: </w:t>
      </w:r>
      <w:r>
        <w:t>The transition from paddy-field/pond landscape to masonry pilgrimage center could be narrated too generally.</w:t>
      </w:r>
    </w:p>
    <w:p>
      <w:pPr>
        <w:keepLines/>
      </w:pPr>
      <w:r>
        <w:rPr>
          <w:b/>
          <w:color w:val="18324A"/>
        </w:rPr>
        <w:t xml:space="preserve">NEW EVIDENCE: </w:t>
      </w:r>
      <w:r>
        <w:t>Habib and Mukherjee, ch. 8, p. 166, describes six untilled plots east of Āriṭ, ponds within them, an existing nālā feeding/draining the Rādhā-kuṇḍa complex, a pond-well, excavation spoil mounds, the 1588 gift, and a small Rādhā-kuṇḍa temple/1598 farmān for ten Ilāhī bīghas tax-free. Drake-Brockman, Muttra Gazetteer, pp. 321–322, reports the stone facing of both lakes and a broad stone terrace associated with Lala Babu, completed in 1817 at a cost of one lakh rupees. Entwistle, Braj, pp. 338–340, likewise treats the steps/causeway as reconstructed by Lala Babu and provides a modern site inventory.</w:t>
      </w:r>
    </w:p>
    <w:p>
      <w:pPr>
        <w:keepLines/>
        <w:shd w:fill="EDF3F3"/>
        <w:spacing w:before="40" w:after="80"/>
        <w:ind w:left="115" w:right="115"/>
      </w:pPr>
      <w:r>
        <w:rPr>
          <w:b/>
          <w:color w:val="18324A"/>
        </w:rPr>
        <w:t xml:space="preserve">REVISED RULING: </w:t>
      </w:r>
      <w:r>
        <w:t>The physical history must be phased: pre- and early-development ponds, fields, watercourse, plots, mounds, small devotional establishment, later gardens/kuñjas and roads, and much later large-scale stone-facing and terrace/causeway works. A present masonry form cannot be projected backward into sixteenth-century texts.</w:t>
      </w:r>
    </w:p>
    <w:p>
      <w:pPr>
        <w:keepLines/>
        <w:shd w:fill="F5F6F6"/>
        <w:spacing w:before="40" w:after="80"/>
        <w:ind w:left="115" w:right="115"/>
      </w:pPr>
      <w:r>
        <w:rPr>
          <w:b/>
          <w:color w:val="18324A"/>
        </w:rPr>
        <w:t xml:space="preserve">CONFIDENCE: </w:t>
      </w:r>
      <w:r>
        <w:t>High for the broad phased model; moderate for details reported by colonial secondary witnesses until corroborated with maps, inscriptions, and patronage records.</w:t>
      </w:r>
    </w:p>
    <w:p>
      <w:pPr>
        <w:keepLines/>
        <w:shd w:fill="F5F6F6"/>
        <w:spacing w:before="40" w:after="80"/>
        <w:ind w:left="115" w:right="115"/>
      </w:pPr>
      <w:r>
        <w:rPr>
          <w:b/>
          <w:color w:val="18324A"/>
        </w:rPr>
        <w:t xml:space="preserve">WHAT STILL NEEDS VERIFICATION: </w:t>
      </w:r>
      <w:r>
        <w:t>Original 1598 farmān; exact 1817 construction scope and inscriptional support; relation between Lala Babu’s works and earlier ghāṭs/causeways; twentieth-century repairs and water engineering.</w:t>
      </w:r>
    </w:p>
    <w:p>
      <w:pPr>
        <w:pStyle w:val="Heading1"/>
        <w:keepNext/>
      </w:pPr>
      <w:r>
        <w:t>SECTION 7 — SOURCE-CONTROL DEMONSTRATION</w:t>
      </w:r>
    </w:p>
    <w:p>
      <w:pPr>
        <w:pStyle w:val="Heading2"/>
        <w:keepNext/>
      </w:pPr>
      <w:r>
        <w:t>Evidence 1 — Mahāprabhu finds the tīrtha obscured</w:t>
      </w:r>
    </w:p>
    <w:p>
      <w:pPr>
        <w:keepLines/>
      </w:pPr>
      <w:r>
        <w:rPr>
          <w:b/>
          <w:color w:val="18324A"/>
        </w:rPr>
        <w:t xml:space="preserve">CLAIM: </w:t>
      </w:r>
      <w:r>
        <w:t>At Āriṭ-grāma, Mahāprabhu recognized the lost/obscured tīrtha in two paddy fields containing little water.</w:t>
      </w:r>
    </w:p>
    <w:p>
      <w:pPr>
        <w:keepLines/>
      </w:pPr>
      <w:r>
        <w:rPr>
          <w:b/>
          <w:color w:val="18324A"/>
        </w:rPr>
        <w:t xml:space="preserve">SOURCE: </w:t>
      </w:r>
      <w:r>
        <w:t>Kṛṣṇadāsa Kavirāja, Caitanya-caritāmṛta.</w:t>
      </w:r>
    </w:p>
    <w:p>
      <w:pPr>
        <w:keepLines/>
      </w:pPr>
      <w:r>
        <w:rPr>
          <w:b/>
          <w:color w:val="18324A"/>
        </w:rPr>
        <w:t xml:space="preserve">EXACT LOCUS: </w:t>
      </w:r>
      <w:r>
        <w:t>Madhya 18.5.</w:t>
      </w:r>
    </w:p>
    <w:p>
      <w:pPr>
        <w:keepLines/>
      </w:pPr>
      <w:r>
        <w:rPr>
          <w:b/>
          <w:color w:val="18324A"/>
        </w:rPr>
        <w:t xml:space="preserve">SHORT ORIGINAL QUOTATION: </w:t>
      </w:r>
      <w:r>
        <w:rPr>
          <w:i/>
          <w:color w:val="2D5256"/>
        </w:rPr>
        <w:t>“tīrtha ‘lupta’ jāni’ prabhu sarvajña bhagavān / dui dhānya-kṣetre alpa-jale kailā snāna”.</w:t>
      </w:r>
    </w:p>
    <w:p>
      <w:pPr>
        <w:keepLines/>
      </w:pPr>
      <w:r>
        <w:rPr>
          <w:b/>
          <w:color w:val="18324A"/>
        </w:rPr>
        <w:t xml:space="preserve">TRANSLATION: </w:t>
      </w:r>
      <w:r>
        <w:t>Knowing the tīrtha to be lost/obscured, the omniscient Lord bathed in a little water in two paddy fields.</w:t>
      </w:r>
    </w:p>
    <w:p>
      <w:pPr>
        <w:keepLines/>
      </w:pPr>
      <w:r>
        <w:rPr>
          <w:b/>
          <w:color w:val="18324A"/>
        </w:rPr>
        <w:t xml:space="preserve">EVIDENCE LAYER: </w:t>
      </w:r>
      <w:r>
        <w:t>A.</w:t>
      </w:r>
    </w:p>
    <w:p>
      <w:pPr>
        <w:keepLines/>
      </w:pPr>
      <w:r>
        <w:rPr>
          <w:b/>
          <w:color w:val="18324A"/>
        </w:rPr>
        <w:t xml:space="preserve">WHAT THIS PROVES: </w:t>
      </w:r>
      <w:r>
        <w:t>Reidentification of a lupta tīrtha and the described physical condition at the narrative moment.</w:t>
      </w:r>
    </w:p>
    <w:p>
      <w:pPr>
        <w:keepLines/>
      </w:pPr>
      <w:r>
        <w:rPr>
          <w:b/>
          <w:color w:val="18324A"/>
        </w:rPr>
        <w:t xml:space="preserve">WHAT THIS DOES NOT PROVE: </w:t>
      </w:r>
      <w:r>
        <w:t>That Mahāprabhu created or excavated the present lakes, or that the later masonry shoreline already existed.</w:t>
      </w:r>
    </w:p>
    <w:p>
      <w:pPr>
        <w:pStyle w:val="Heading2"/>
        <w:keepNext/>
      </w:pPr>
      <w:r>
        <w:t>Evidence 2 — Raghunātha’s desired residence</w:t>
      </w:r>
    </w:p>
    <w:p>
      <w:pPr>
        <w:keepLines/>
      </w:pPr>
      <w:r>
        <w:rPr>
          <w:b/>
          <w:color w:val="18324A"/>
        </w:rPr>
        <w:t xml:space="preserve">CLAIM: </w:t>
      </w:r>
      <w:r>
        <w:t>Rādhā-kuṇḍa is Raghunātha dāsa’s chosen abiding place of Rādhā-dāsya.</w:t>
      </w:r>
    </w:p>
    <w:p>
      <w:pPr>
        <w:keepLines/>
      </w:pPr>
      <w:r>
        <w:rPr>
          <w:b/>
          <w:color w:val="18324A"/>
        </w:rPr>
        <w:t xml:space="preserve">SOURCE: </w:t>
      </w:r>
      <w:r>
        <w:t>Raghunātha dāsa Gosvāmī, Vilāpa-kusumāñjali.</w:t>
      </w:r>
    </w:p>
    <w:p>
      <w:pPr>
        <w:keepLines/>
      </w:pPr>
      <w:r>
        <w:rPr>
          <w:b/>
          <w:color w:val="18324A"/>
        </w:rPr>
        <w:t xml:space="preserve">EXACT LOCUS: </w:t>
      </w:r>
      <w:r>
        <w:t>Verse 97.</w:t>
      </w:r>
    </w:p>
    <w:p>
      <w:pPr>
        <w:keepLines/>
      </w:pPr>
      <w:r>
        <w:rPr>
          <w:b/>
          <w:color w:val="18324A"/>
        </w:rPr>
        <w:t xml:space="preserve">SHORT ORIGINAL QUOTATION: </w:t>
      </w:r>
      <w:r>
        <w:rPr>
          <w:i/>
          <w:color w:val="2D5256"/>
        </w:rPr>
        <w:t>“sva-kuṇḍaṁ tava lolākṣi / sa-priyāyāḥ sadāspadam / atraiva mama saṁvāsa / ihaiva mama saṁsthitiḥ”.</w:t>
      </w:r>
    </w:p>
    <w:p>
      <w:pPr>
        <w:keepLines/>
      </w:pPr>
      <w:r>
        <w:rPr>
          <w:b/>
          <w:color w:val="18324A"/>
        </w:rPr>
        <w:t xml:space="preserve">TRANSLATION: </w:t>
      </w:r>
      <w:r>
        <w:t>O restless-eyed one, Your own kuṇḍa is the eternal abode of You with Your beloved. Here alone shall be my residence; here alone my abiding place.</w:t>
      </w:r>
    </w:p>
    <w:p>
      <w:pPr>
        <w:keepLines/>
      </w:pPr>
      <w:r>
        <w:rPr>
          <w:b/>
          <w:color w:val="18324A"/>
        </w:rPr>
        <w:t xml:space="preserve">EVIDENCE LAYER: </w:t>
      </w:r>
      <w:r>
        <w:t>A.</w:t>
      </w:r>
    </w:p>
    <w:p>
      <w:pPr>
        <w:keepLines/>
      </w:pPr>
      <w:r>
        <w:rPr>
          <w:b/>
          <w:color w:val="18324A"/>
        </w:rPr>
        <w:t xml:space="preserve">WHAT THIS PROVES: </w:t>
      </w:r>
      <w:r>
        <w:t>Primary devotional theology of the kuṇḍa as eternal abode and desired residence.</w:t>
      </w:r>
    </w:p>
    <w:p>
      <w:pPr>
        <w:keepLines/>
      </w:pPr>
      <w:r>
        <w:rPr>
          <w:b/>
          <w:color w:val="18324A"/>
        </w:rPr>
        <w:t xml:space="preserve">WHAT THIS DOES NOT PROVE: </w:t>
      </w:r>
      <w:r>
        <w:t>The date, construction, or exact surviving footprint of a modern bhajana-kuṭīra.</w:t>
      </w:r>
    </w:p>
    <w:p>
      <w:pPr>
        <w:pStyle w:val="Heading2"/>
        <w:keepNext/>
      </w:pPr>
      <w:r>
        <w:t>Evidence 3 — Why Rādhā-kuṇḍa is dear</w:t>
      </w:r>
    </w:p>
    <w:p>
      <w:pPr>
        <w:keepLines/>
      </w:pPr>
      <w:r>
        <w:rPr>
          <w:b/>
          <w:color w:val="18324A"/>
        </w:rPr>
        <w:t xml:space="preserve">CLAIM: </w:t>
      </w:r>
      <w:r>
        <w:t>Rādhā’s kuṇḍa is dear to Viṣṇu/Kṛṣṇa as Rādhā is dear.</w:t>
      </w:r>
    </w:p>
    <w:p>
      <w:pPr>
        <w:keepLines/>
      </w:pPr>
      <w:r>
        <w:rPr>
          <w:b/>
          <w:color w:val="18324A"/>
        </w:rPr>
        <w:t xml:space="preserve">SOURCE: </w:t>
      </w:r>
      <w:r>
        <w:t>Rūpa Gosvāmī, Mathurā-māhātmya.</w:t>
      </w:r>
    </w:p>
    <w:p>
      <w:pPr>
        <w:keepLines/>
      </w:pPr>
      <w:r>
        <w:rPr>
          <w:b/>
          <w:color w:val="18324A"/>
        </w:rPr>
        <w:t xml:space="preserve">EXACT LOCUS: </w:t>
      </w:r>
      <w:r>
        <w:t>Verse 421.</w:t>
      </w:r>
    </w:p>
    <w:p>
      <w:pPr>
        <w:keepLines/>
      </w:pPr>
      <w:r>
        <w:rPr>
          <w:b/>
          <w:color w:val="18324A"/>
        </w:rPr>
        <w:t xml:space="preserve">SHORT ORIGINAL QUOTATION: </w:t>
      </w:r>
      <w:r>
        <w:rPr>
          <w:i/>
          <w:color w:val="2D5256"/>
        </w:rPr>
        <w:t>“yathā rādhā priyā viṣṇos / tasyāḥ kuṇḍaṁ priyaṁ tathā”.</w:t>
      </w:r>
    </w:p>
    <w:p>
      <w:pPr>
        <w:keepLines/>
      </w:pPr>
      <w:r>
        <w:rPr>
          <w:b/>
          <w:color w:val="18324A"/>
        </w:rPr>
        <w:t xml:space="preserve">TRANSLATION: </w:t>
      </w:r>
      <w:r>
        <w:t>As Rādhā is dear to Viṣṇu, so Her kuṇḍa is dear.</w:t>
      </w:r>
    </w:p>
    <w:p>
      <w:pPr>
        <w:keepLines/>
      </w:pPr>
      <w:r>
        <w:rPr>
          <w:b/>
          <w:color w:val="18324A"/>
        </w:rPr>
        <w:t xml:space="preserve">EVIDENCE LAYER: </w:t>
      </w:r>
      <w:r>
        <w:t>A.</w:t>
      </w:r>
    </w:p>
    <w:p>
      <w:pPr>
        <w:keepLines/>
      </w:pPr>
      <w:r>
        <w:rPr>
          <w:b/>
          <w:color w:val="18324A"/>
        </w:rPr>
        <w:t xml:space="preserve">WHAT THIS PROVES: </w:t>
      </w:r>
      <w:r>
        <w:t>Rūpa’s concise theological equivalence of Rādhā’s dearness and the kuṇḍa’s dearness.</w:t>
      </w:r>
    </w:p>
    <w:p>
      <w:pPr>
        <w:keepLines/>
      </w:pPr>
      <w:r>
        <w:rPr>
          <w:b/>
          <w:color w:val="18324A"/>
        </w:rPr>
        <w:t xml:space="preserve">WHAT THIS DOES NOT PROVE: </w:t>
      </w:r>
      <w:r>
        <w:t>A later shrine location, ghāṭ history, or the full manifestation narrative.</w:t>
      </w:r>
    </w:p>
    <w:p>
      <w:pPr>
        <w:pStyle w:val="Heading2"/>
        <w:keepNext/>
      </w:pPr>
      <w:r>
        <w:t>Evidence 4 — Arrival at Rādhā-kuṇḍa</w:t>
      </w:r>
    </w:p>
    <w:p>
      <w:pPr>
        <w:keepLines/>
      </w:pPr>
      <w:r>
        <w:rPr>
          <w:b/>
          <w:color w:val="18324A"/>
        </w:rPr>
        <w:t xml:space="preserve">CLAIM: </w:t>
      </w:r>
      <w:r>
        <w:t>Govinda-līlāmṛta places Kṛṣṇa’s arrival at Rādhā-kuṇḍa within the midday route.</w:t>
      </w:r>
    </w:p>
    <w:p>
      <w:pPr>
        <w:keepLines/>
      </w:pPr>
      <w:r>
        <w:rPr>
          <w:b/>
          <w:color w:val="18324A"/>
        </w:rPr>
        <w:t xml:space="preserve">SOURCE: </w:t>
      </w:r>
      <w:r>
        <w:t>Kṛṣṇadāsa Kavirāja, Govinda-līlāmṛta.</w:t>
      </w:r>
    </w:p>
    <w:p>
      <w:pPr>
        <w:keepLines/>
      </w:pPr>
      <w:r>
        <w:rPr>
          <w:b/>
          <w:color w:val="18324A"/>
        </w:rPr>
        <w:t xml:space="preserve">EXACT LOCUS: </w:t>
      </w:r>
      <w:r>
        <w:t>7.1.</w:t>
      </w:r>
    </w:p>
    <w:p>
      <w:pPr>
        <w:keepLines/>
      </w:pPr>
      <w:r>
        <w:rPr>
          <w:b/>
          <w:color w:val="18324A"/>
        </w:rPr>
        <w:t xml:space="preserve">SHORT ORIGINAL QUOTATION: </w:t>
      </w:r>
      <w:r>
        <w:rPr>
          <w:i/>
          <w:color w:val="2D5256"/>
        </w:rPr>
        <w:t>“kiyad-dūraṁ tato gatvā nivṛtyodvartmanā hariḥ / rādhā-kuṇḍaṁ samāyātaḥ priyā-saṅgotsukaḥ priyam”.</w:t>
      </w:r>
    </w:p>
    <w:p>
      <w:pPr>
        <w:keepLines/>
      </w:pPr>
      <w:r>
        <w:rPr>
          <w:b/>
          <w:color w:val="18324A"/>
        </w:rPr>
        <w:t xml:space="preserve">TRANSLATION: </w:t>
      </w:r>
      <w:r>
        <w:t>After going some distance, Hari turned back by another path and came to beloved Rādhā-kuṇḍa, eager for the company of His beloved.</w:t>
      </w:r>
    </w:p>
    <w:p>
      <w:pPr>
        <w:keepLines/>
      </w:pPr>
      <w:r>
        <w:rPr>
          <w:b/>
          <w:color w:val="18324A"/>
        </w:rPr>
        <w:t xml:space="preserve">EVIDENCE LAYER: </w:t>
      </w:r>
      <w:r>
        <w:t>A.</w:t>
      </w:r>
    </w:p>
    <w:p>
      <w:pPr>
        <w:keepLines/>
      </w:pPr>
      <w:r>
        <w:rPr>
          <w:b/>
          <w:color w:val="18324A"/>
        </w:rPr>
        <w:t xml:space="preserve">WHAT THIS PROVES: </w:t>
      </w:r>
      <w:r>
        <w:t>The destination and narrative approach in the nitya-līlā route.</w:t>
      </w:r>
    </w:p>
    <w:p>
      <w:pPr>
        <w:keepLines/>
      </w:pPr>
      <w:r>
        <w:rPr>
          <w:b/>
          <w:color w:val="18324A"/>
        </w:rPr>
        <w:t xml:space="preserve">WHAT THIS DOES NOT PROVE: </w:t>
      </w:r>
      <w:r>
        <w:t>A modern approach road or precise physical bearing.</w:t>
      </w:r>
    </w:p>
    <w:p>
      <w:pPr>
        <w:pStyle w:val="Heading2"/>
        <w:keepNext/>
      </w:pPr>
      <w:r>
        <w:t>Evidence 5 — The textual bridge at the saṅgama</w:t>
      </w:r>
    </w:p>
    <w:p>
      <w:pPr>
        <w:keepLines/>
      </w:pPr>
      <w:r>
        <w:rPr>
          <w:b/>
          <w:color w:val="18324A"/>
        </w:rPr>
        <w:t xml:space="preserve">CLAIM: </w:t>
      </w:r>
      <w:r>
        <w:t>The two lakes meet in the east/southeast sector, with a supported bridge above the meeting place.</w:t>
      </w:r>
    </w:p>
    <w:p>
      <w:pPr>
        <w:keepLines/>
      </w:pPr>
      <w:r>
        <w:rPr>
          <w:b/>
          <w:color w:val="18324A"/>
        </w:rPr>
        <w:t xml:space="preserve">SOURCE: </w:t>
      </w:r>
      <w:r>
        <w:t>Govinda-līlāmṛta.</w:t>
      </w:r>
    </w:p>
    <w:p>
      <w:pPr>
        <w:keepLines/>
      </w:pPr>
      <w:r>
        <w:rPr>
          <w:b/>
          <w:color w:val="18324A"/>
        </w:rPr>
        <w:t xml:space="preserve">EXACT LOCUS: </w:t>
      </w:r>
      <w:r>
        <w:t>7.6.</w:t>
      </w:r>
    </w:p>
    <w:p>
      <w:pPr>
        <w:keepLines/>
      </w:pPr>
      <w:r>
        <w:rPr>
          <w:b/>
          <w:color w:val="18324A"/>
        </w:rPr>
        <w:t xml:space="preserve">SHORT ORIGINAL QUOTATION: </w:t>
      </w:r>
      <w:r>
        <w:rPr>
          <w:i/>
          <w:color w:val="2D5256"/>
        </w:rPr>
        <w:t>“pūrvāgneya-diśor madhye priya-kuṇḍena saṅgatam / tatrordhve stambhakālambi-citra-setu-samanvitam”.</w:t>
      </w:r>
    </w:p>
    <w:p>
      <w:pPr>
        <w:keepLines/>
      </w:pPr>
      <w:r>
        <w:rPr>
          <w:b/>
          <w:color w:val="18324A"/>
        </w:rPr>
        <w:t xml:space="preserve">TRANSLATION: </w:t>
      </w:r>
      <w:r>
        <w:t>Between the eastern and southeastern directions Rādhā-kuṇḍa joins the beloved kuṇḍa, and above that place is a wonderful bridge supported or suspended by pillars.</w:t>
      </w:r>
    </w:p>
    <w:p>
      <w:pPr>
        <w:keepLines/>
      </w:pPr>
      <w:r>
        <w:rPr>
          <w:b/>
          <w:color w:val="18324A"/>
        </w:rPr>
        <w:t xml:space="preserve">EVIDENCE LAYER: </w:t>
      </w:r>
      <w:r>
        <w:t>A.</w:t>
      </w:r>
    </w:p>
    <w:p>
      <w:pPr>
        <w:keepLines/>
      </w:pPr>
      <w:r>
        <w:rPr>
          <w:b/>
          <w:color w:val="18324A"/>
        </w:rPr>
        <w:t xml:space="preserve">WHAT THIS PROVES: </w:t>
      </w:r>
      <w:r>
        <w:t>Nitya-līlā textual geography of saṅgama and setu.</w:t>
      </w:r>
    </w:p>
    <w:p>
      <w:pPr>
        <w:keepLines/>
      </w:pPr>
      <w:r>
        <w:rPr>
          <w:b/>
          <w:color w:val="18324A"/>
        </w:rPr>
        <w:t xml:space="preserve">WHAT THIS DOES NOT PROVE: </w:t>
      </w:r>
      <w:r>
        <w:t>That the present causeway is the same structure or occupies an unchanged footprint.</w:t>
      </w:r>
    </w:p>
    <w:p>
      <w:pPr>
        <w:pStyle w:val="Heading2"/>
        <w:keepNext/>
      </w:pPr>
      <w:r>
        <w:t>Evidence 6 — The directional mandala</w:t>
      </w:r>
    </w:p>
    <w:p>
      <w:pPr>
        <w:keepLines/>
      </w:pPr>
      <w:r>
        <w:rPr>
          <w:b/>
          <w:color w:val="18324A"/>
        </w:rPr>
        <w:t xml:space="preserve">CLAIM: </w:t>
      </w:r>
      <w:r>
        <w:t>The aṣṭa-sakhīs occupy a defined directional order around Rādhā-kuṇḍa.</w:t>
      </w:r>
    </w:p>
    <w:p>
      <w:pPr>
        <w:keepLines/>
      </w:pPr>
      <w:r>
        <w:rPr>
          <w:b/>
          <w:color w:val="18324A"/>
        </w:rPr>
        <w:t xml:space="preserve">SOURCE: </w:t>
      </w:r>
      <w:r>
        <w:t>Govinda-līlāmṛta 7.27–101, corroborated by Kṛṣṇa-bhāvanāmṛta 14.10.</w:t>
      </w:r>
    </w:p>
    <w:p>
      <w:pPr>
        <w:keepLines/>
      </w:pPr>
      <w:r>
        <w:rPr>
          <w:b/>
          <w:color w:val="18324A"/>
        </w:rPr>
        <w:t xml:space="preserve">EXACT LOCUS: </w:t>
      </w:r>
      <w:r>
        <w:t>GL 7.27–101; KBh 14.10.</w:t>
      </w:r>
    </w:p>
    <w:p>
      <w:pPr>
        <w:keepLines/>
      </w:pPr>
      <w:r>
        <w:rPr>
          <w:b/>
          <w:color w:val="18324A"/>
        </w:rPr>
        <w:t xml:space="preserve">SHORT ORIGINAL QUOTATION: </w:t>
      </w:r>
      <w:r>
        <w:rPr>
          <w:i/>
          <w:color w:val="2D5256"/>
        </w:rPr>
        <w:t>The controlling ledger retrieves the ordered assignments: Lalitā north, Viśākhā northeast, Citrā east, Indulekhā southeast, Campakalatā south, Raṅgadevī southwest, Tuṅgavidyā west, Sudevī northwest; Anaṅga Mañjarī is central in the water.</w:t>
      </w:r>
    </w:p>
    <w:p>
      <w:pPr>
        <w:keepLines/>
      </w:pPr>
      <w:r>
        <w:rPr>
          <w:b/>
          <w:color w:val="18324A"/>
        </w:rPr>
        <w:t xml:space="preserve">TRANSLATION: </w:t>
      </w:r>
      <w:r>
        <w:t>Directional names are given above in English; the primary Sanskrit verse blocks remain in RK-02 for final quotation control.</w:t>
      </w:r>
    </w:p>
    <w:p>
      <w:pPr>
        <w:keepLines/>
      </w:pPr>
      <w:r>
        <w:rPr>
          <w:b/>
          <w:color w:val="18324A"/>
        </w:rPr>
        <w:t xml:space="preserve">EVIDENCE LAYER: </w:t>
      </w:r>
      <w:r>
        <w:t>A.</w:t>
      </w:r>
    </w:p>
    <w:p>
      <w:pPr>
        <w:keepLines/>
      </w:pPr>
      <w:r>
        <w:rPr>
          <w:b/>
          <w:color w:val="18324A"/>
        </w:rPr>
        <w:t xml:space="preserve">WHAT THIS PROVES: </w:t>
      </w:r>
      <w:r>
        <w:t>A stable primary nitya-līlā directional scheme corroborated across two major works.</w:t>
      </w:r>
    </w:p>
    <w:p>
      <w:pPr>
        <w:keepLines/>
      </w:pPr>
      <w:r>
        <w:rPr>
          <w:b/>
          <w:color w:val="18324A"/>
        </w:rPr>
        <w:t xml:space="preserve">WHAT THIS DOES NOT PROVE: </w:t>
      </w:r>
      <w:r>
        <w:t>Exact modern property boundaries or the antiquity of present named shrines.</w:t>
      </w:r>
    </w:p>
    <w:p>
      <w:pPr>
        <w:pStyle w:val="Heading2"/>
        <w:keepNext/>
      </w:pPr>
      <w:r>
        <w:t>Evidence 7 — Desilting and excavation</w:t>
      </w:r>
    </w:p>
    <w:p>
      <w:pPr>
        <w:keepLines/>
      </w:pPr>
      <w:r>
        <w:rPr>
          <w:b/>
          <w:color w:val="18324A"/>
        </w:rPr>
        <w:t xml:space="preserve">CLAIM: </w:t>
      </w:r>
      <w:r>
        <w:t>Bhakti-ratnākara remembers a substantial restoration under Raghunātha’s direction.</w:t>
      </w:r>
    </w:p>
    <w:p>
      <w:pPr>
        <w:keepLines/>
      </w:pPr>
      <w:r>
        <w:rPr>
          <w:b/>
          <w:color w:val="18324A"/>
        </w:rPr>
        <w:t xml:space="preserve">SOURCE: </w:t>
      </w:r>
      <w:r>
        <w:t>Narahari Cakravartī, Bhakti-ratnākara.</w:t>
      </w:r>
    </w:p>
    <w:p>
      <w:pPr>
        <w:keepLines/>
      </w:pPr>
      <w:r>
        <w:rPr>
          <w:b/>
          <w:color w:val="18324A"/>
        </w:rPr>
        <w:t xml:space="preserve">EXACT LOCUS: </w:t>
      </w:r>
      <w:r>
        <w:t>5.545–547.</w:t>
      </w:r>
    </w:p>
    <w:p>
      <w:pPr>
        <w:keepLines/>
      </w:pPr>
      <w:r>
        <w:rPr>
          <w:b/>
          <w:color w:val="18324A"/>
        </w:rPr>
        <w:t xml:space="preserve">SHORT ORIGINAL QUOTATION: </w:t>
      </w:r>
      <w:r>
        <w:rPr>
          <w:i/>
          <w:color w:val="2D5256"/>
        </w:rPr>
        <w:t>“śīghra kuṇḍadvayera karaha paṅkoddhāra … sei kṣaṇe bahu loka niyukta karilā … śīghra kuṇḍadvaya khodāila yatnamate”.</w:t>
      </w:r>
    </w:p>
    <w:p>
      <w:pPr>
        <w:keepLines/>
      </w:pPr>
      <w:r>
        <w:rPr>
          <w:b/>
          <w:color w:val="18324A"/>
        </w:rPr>
        <w:t xml:space="preserve">TRANSLATION: </w:t>
      </w:r>
      <w:r>
        <w:t>Quickly undertake removal of the mud/silt of the two kuṇḍas; many people were engaged at once, and the two kuṇḍas were carefully caused to be dug.</w:t>
      </w:r>
    </w:p>
    <w:p>
      <w:pPr>
        <w:keepLines/>
      </w:pPr>
      <w:r>
        <w:rPr>
          <w:b/>
          <w:color w:val="18324A"/>
        </w:rPr>
        <w:t xml:space="preserve">EVIDENCE LAYER: </w:t>
      </w:r>
      <w:r>
        <w:t>B.</w:t>
      </w:r>
    </w:p>
    <w:p>
      <w:pPr>
        <w:keepLines/>
      </w:pPr>
      <w:r>
        <w:rPr>
          <w:b/>
          <w:color w:val="18324A"/>
        </w:rPr>
        <w:t xml:space="preserve">WHAT THIS PROVES: </w:t>
      </w:r>
      <w:r>
        <w:t>Early Gauḍīya devotional memory of desilting plus significant excavation/restoration.</w:t>
      </w:r>
    </w:p>
    <w:p>
      <w:pPr>
        <w:keepLines/>
      </w:pPr>
      <w:r>
        <w:rPr>
          <w:b/>
          <w:color w:val="18324A"/>
        </w:rPr>
        <w:t xml:space="preserve">WHAT THIS DOES NOT PROVE: </w:t>
      </w:r>
      <w:r>
        <w:t>That Raghunātha created the sacred lakes ex nihilo, the engineering dimensions, or the exact date.</w:t>
      </w:r>
    </w:p>
    <w:p>
      <w:pPr>
        <w:pStyle w:val="Heading2"/>
        <w:keepNext/>
      </w:pPr>
      <w:r>
        <w:t>Evidence 8 — The Pāṇḍava trees and irregular form</w:t>
      </w:r>
    </w:p>
    <w:p>
      <w:pPr>
        <w:keepLines/>
      </w:pPr>
      <w:r>
        <w:rPr>
          <w:b/>
          <w:color w:val="18324A"/>
        </w:rPr>
        <w:t xml:space="preserve">CLAIM: </w:t>
      </w:r>
      <w:r>
        <w:t>Bhakti-ratnākara explains the preservation of five trees as the reason Śyāma-kuṇḍa did not become square.</w:t>
      </w:r>
    </w:p>
    <w:p>
      <w:pPr>
        <w:keepLines/>
      </w:pPr>
      <w:r>
        <w:rPr>
          <w:b/>
          <w:color w:val="18324A"/>
        </w:rPr>
        <w:t xml:space="preserve">SOURCE: </w:t>
      </w:r>
      <w:r>
        <w:t>Bhakti-ratnākara.</w:t>
      </w:r>
    </w:p>
    <w:p>
      <w:pPr>
        <w:keepLines/>
      </w:pPr>
      <w:r>
        <w:rPr>
          <w:b/>
          <w:color w:val="18324A"/>
        </w:rPr>
        <w:t xml:space="preserve">EXACT LOCUS: </w:t>
      </w:r>
      <w:r>
        <w:t>5.549–553.</w:t>
      </w:r>
    </w:p>
    <w:p>
      <w:pPr>
        <w:keepLines/>
      </w:pPr>
      <w:r>
        <w:rPr>
          <w:b/>
          <w:color w:val="18324A"/>
        </w:rPr>
        <w:t xml:space="preserve">SHORT ORIGINAL QUOTATION: </w:t>
      </w:r>
      <w:r>
        <w:rPr>
          <w:i/>
          <w:color w:val="2D5256"/>
        </w:rPr>
        <w:t>“vṛkṣarūpe morā pañca āchiye ethāte … vṛkṣera chedana sabe vāraṇa karila / ei hetu śyāmakuṇḍa caurasa nahila”.</w:t>
      </w:r>
    </w:p>
    <w:p>
      <w:pPr>
        <w:keepLines/>
      </w:pPr>
      <w:r>
        <w:rPr>
          <w:b/>
          <w:color w:val="18324A"/>
        </w:rPr>
        <w:t xml:space="preserve">TRANSLATION: </w:t>
      </w:r>
      <w:r>
        <w:t>The five of us are present here in tree form; Raghunātha forbade the trees to be cut, and for this reason Śyāma-kuṇḍa did not become square.</w:t>
      </w:r>
    </w:p>
    <w:p>
      <w:pPr>
        <w:keepLines/>
      </w:pPr>
      <w:r>
        <w:rPr>
          <w:b/>
          <w:color w:val="18324A"/>
        </w:rPr>
        <w:t xml:space="preserve">EVIDENCE LAYER: </w:t>
      </w:r>
      <w:r>
        <w:t>B.</w:t>
      </w:r>
    </w:p>
    <w:p>
      <w:pPr>
        <w:keepLines/>
      </w:pPr>
      <w:r>
        <w:rPr>
          <w:b/>
          <w:color w:val="18324A"/>
        </w:rPr>
        <w:t xml:space="preserve">WHAT THIS PROVES: </w:t>
      </w:r>
      <w:r>
        <w:t>An early pilgrimage/restoration tradition linking sacred trees, Mānasa-pāvana, and lake shape.</w:t>
      </w:r>
    </w:p>
    <w:p>
      <w:pPr>
        <w:keepLines/>
      </w:pPr>
      <w:r>
        <w:rPr>
          <w:b/>
          <w:color w:val="18324A"/>
        </w:rPr>
        <w:t xml:space="preserve">WHAT THIS DOES NOT PROVE: </w:t>
      </w:r>
      <w:r>
        <w:t>Archaeological causation, the age of surviving trees, or an unchanged shoreline.</w:t>
      </w:r>
    </w:p>
    <w:p>
      <w:pPr>
        <w:pStyle w:val="Heading2"/>
        <w:keepNext/>
      </w:pPr>
      <w:r>
        <w:t>Evidence 9 — Text-guided Mālyahāri localization</w:t>
      </w:r>
    </w:p>
    <w:p>
      <w:pPr>
        <w:keepLines/>
      </w:pPr>
      <w:r>
        <w:rPr>
          <w:b/>
          <w:color w:val="18324A"/>
        </w:rPr>
        <w:t xml:space="preserve">CLAIM: </w:t>
      </w:r>
      <w:r>
        <w:t>The early pilgrimage tradition interprets Mālyahāri through Raghunātha’s Muktā-carita.</w:t>
      </w:r>
    </w:p>
    <w:p>
      <w:pPr>
        <w:keepLines/>
      </w:pPr>
      <w:r>
        <w:rPr>
          <w:b/>
          <w:color w:val="18324A"/>
        </w:rPr>
        <w:t xml:space="preserve">SOURCE: </w:t>
      </w:r>
      <w:r>
        <w:t>Bhakti-ratnākara.</w:t>
      </w:r>
    </w:p>
    <w:p>
      <w:pPr>
        <w:keepLines/>
      </w:pPr>
      <w:r>
        <w:rPr>
          <w:b/>
          <w:color w:val="18324A"/>
        </w:rPr>
        <w:t xml:space="preserve">EXACT LOCUS: </w:t>
      </w:r>
      <w:r>
        <w:t>5.585–586.</w:t>
      </w:r>
    </w:p>
    <w:p>
      <w:pPr>
        <w:keepLines/>
      </w:pPr>
      <w:r>
        <w:rPr>
          <w:b/>
          <w:color w:val="18324A"/>
        </w:rPr>
        <w:t xml:space="preserve">SHORT ORIGINAL QUOTATION: </w:t>
      </w:r>
      <w:r>
        <w:rPr>
          <w:i/>
          <w:color w:val="2D5256"/>
        </w:rPr>
        <w:t>“ei ‘mālyahāri’ kuṇḍa ahe śrīnivāsa … śrī-muktā-caritra-granthe esaba vicāri / varṇila śrī-raghunāthadāsa”.</w:t>
      </w:r>
    </w:p>
    <w:p>
      <w:pPr>
        <w:keepLines/>
      </w:pPr>
      <w:r>
        <w:rPr>
          <w:b/>
          <w:color w:val="18324A"/>
        </w:rPr>
        <w:t xml:space="preserve">TRANSLATION: </w:t>
      </w:r>
      <w:r>
        <w:t>This is Mālyahāri-kuṇḍa, O Śrīnivāsa; Raghunātha dāsa has described these matters in the Muktā-caritra.</w:t>
      </w:r>
    </w:p>
    <w:p>
      <w:pPr>
        <w:keepLines/>
      </w:pPr>
      <w:r>
        <w:rPr>
          <w:b/>
          <w:color w:val="18324A"/>
        </w:rPr>
        <w:t xml:space="preserve">EVIDENCE LAYER: </w:t>
      </w:r>
      <w:r>
        <w:t>B, explicitly pointing back to an A-level Gosvāmī text.</w:t>
      </w:r>
    </w:p>
    <w:p>
      <w:pPr>
        <w:keepLines/>
      </w:pPr>
      <w:r>
        <w:rPr>
          <w:b/>
          <w:color w:val="18324A"/>
        </w:rPr>
        <w:t xml:space="preserve">WHAT THIS PROVES: </w:t>
      </w:r>
      <w:r>
        <w:t>Early text-guided pilgrimage pedagogy and localization of Mālyahāri.</w:t>
      </w:r>
    </w:p>
    <w:p>
      <w:pPr>
        <w:keepLines/>
      </w:pPr>
      <w:r>
        <w:rPr>
          <w:b/>
          <w:color w:val="18324A"/>
        </w:rPr>
        <w:t xml:space="preserve">WHAT THIS DOES NOT PROVE: </w:t>
      </w:r>
      <w:r>
        <w:t>The exact boundaries or age of a present pond or shrine.</w:t>
      </w:r>
    </w:p>
    <w:p>
      <w:pPr>
        <w:pStyle w:val="Heading2"/>
        <w:keepNext/>
      </w:pPr>
      <w:r>
        <w:t>Evidence 10 — The 1588 hiba</w:t>
      </w:r>
    </w:p>
    <w:p>
      <w:pPr>
        <w:keepLines/>
      </w:pPr>
      <w:r>
        <w:rPr>
          <w:b/>
          <w:color w:val="1F4D78"/>
        </w:rPr>
        <w:t xml:space="preserve">CLAIM: </w:t>
      </w:r>
      <w:r>
        <w:t>The 2 June 1588 declaration says that Raghunātha had purchased six plots near the tank for a stated aggregate price of Rs.238 and then gave the plots to Jīva by hiba.</w:t>
      </w:r>
    </w:p>
    <w:p>
      <w:pPr>
        <w:keepLines/>
      </w:pPr>
      <w:r>
        <w:rPr>
          <w:b/>
          <w:color w:val="18324A"/>
        </w:rPr>
        <w:t xml:space="preserve">SOURCE: </w:t>
      </w:r>
      <w:r>
        <w:t>Tarapada Mukherjee and Irfan Habib, “Land Rights in the Reign of Akbar.”</w:t>
      </w:r>
    </w:p>
    <w:p>
      <w:pPr>
        <w:keepLines/>
      </w:pPr>
      <w:r>
        <w:rPr>
          <w:b/>
          <w:color w:val="18324A"/>
        </w:rPr>
        <w:t xml:space="preserve">EXACT LOCUS: </w:t>
      </w:r>
      <w:r>
        <w:t>pp. 237–239; document calendar pp. 248–249, Document 11/G.D. 8.</w:t>
      </w:r>
    </w:p>
    <w:p>
      <w:pPr>
        <w:keepLines/>
      </w:pPr>
      <w:r>
        <w:rPr>
          <w:b/>
          <w:color w:val="18324A"/>
        </w:rPr>
        <w:t xml:space="preserve">SHORT ORIGINAL QUOTATION: </w:t>
      </w:r>
      <w:r>
        <w:rPr>
          <w:i/>
          <w:color w:val="2D5256"/>
        </w:rPr>
        <w:t>The operative legal term recorded in the study is “hiba.”</w:t>
      </w:r>
    </w:p>
    <w:p>
      <w:pPr>
        <w:keepLines/>
      </w:pPr>
      <w:r>
        <w:rPr>
          <w:b/>
          <w:color w:val="18324A"/>
        </w:rPr>
        <w:t xml:space="preserve">TRANSLATION: </w:t>
      </w:r>
      <w:r>
        <w:t>Gift.</w:t>
      </w:r>
    </w:p>
    <w:p>
      <w:pPr>
        <w:keepLines/>
      </w:pPr>
      <w:r>
        <w:rPr>
          <w:b/>
          <w:color w:val="18324A"/>
        </w:rPr>
        <w:t xml:space="preserve">EVIDENCE LAYER: </w:t>
      </w:r>
      <w:r>
        <w:t>D.</w:t>
      </w:r>
    </w:p>
    <w:p>
      <w:pPr>
        <w:keepLines/>
      </w:pPr>
      <w:r>
        <w:rPr>
          <w:b/>
          <w:color w:val="1F4D78"/>
        </w:rPr>
        <w:t xml:space="preserve">WHAT THIS PROVES: </w:t>
      </w:r>
      <w:r>
        <w:t>The declaration’s date, the six plots, the stated aggregate earlier purchase price of Rs.238, Jīva as recipient, and the 1588 legal act as hiba/gift.</w:t>
      </w:r>
    </w:p>
    <w:p>
      <w:pPr>
        <w:keepLines/>
      </w:pPr>
      <w:r>
        <w:rPr>
          <w:b/>
          <w:color w:val="1F4D78"/>
        </w:rPr>
        <w:t xml:space="preserve">WHAT THIS DOES NOT PROVE: </w:t>
      </w:r>
      <w:r>
        <w:t>That Rs.238 was the price of “the two lakes,” that the 1588 transfer was a sale, or that the purported dates of all component purchases are historically reliable.</w:t>
      </w:r>
    </w:p>
    <w:p>
      <w:pPr>
        <w:pStyle w:val="Heading2"/>
        <w:keepNext/>
      </w:pPr>
      <w:r>
        <w:t>Evidence 11 — The 1637 succession and two Kṛṣṇadāsas</w:t>
      </w:r>
    </w:p>
    <w:p>
      <w:pPr>
        <w:keepLines/>
      </w:pPr>
      <w:r>
        <w:rPr>
          <w:b/>
          <w:color w:val="18324A"/>
        </w:rPr>
        <w:t xml:space="preserve">CLAIM: </w:t>
      </w:r>
      <w:r>
        <w:t>The 1637 declarant is Kṛṣṇadāsa son of Bharatācārya, while Kṛṣṇadāsa Kavirāja’s dwelling is mentioned separately.</w:t>
      </w:r>
    </w:p>
    <w:p>
      <w:pPr>
        <w:keepLines/>
      </w:pPr>
      <w:r>
        <w:rPr>
          <w:b/>
          <w:color w:val="1F4D78"/>
        </w:rPr>
        <w:t xml:space="preserve">SOURCE: </w:t>
      </w:r>
      <w:r>
        <w:t>Tarapada Mukherjee and J. C. Wright, “An Early Testamentary Document in Sanskrit.”</w:t>
      </w:r>
    </w:p>
    <w:p>
      <w:pPr>
        <w:keepLines/>
      </w:pPr>
      <w:r>
        <w:rPr>
          <w:b/>
          <w:color w:val="18324A"/>
        </w:rPr>
        <w:t xml:space="preserve">EXACT LOCUS: </w:t>
      </w:r>
      <w:r>
        <w:t>pp. 316–318.</w:t>
      </w:r>
    </w:p>
    <w:p>
      <w:pPr>
        <w:keepLines/>
      </w:pPr>
      <w:r>
        <w:rPr>
          <w:b/>
          <w:color w:val="18324A"/>
        </w:rPr>
        <w:t xml:space="preserve">SHORT ORIGINAL QUOTATION: </w:t>
      </w:r>
      <w:r>
        <w:rPr>
          <w:i/>
          <w:color w:val="2D5256"/>
        </w:rPr>
        <w:t>The document’s full Sanskrit/transliteration should be quoted from the article at publication; the controlling identity terms are the declarant Kṛṣṇadāsa, son of Bharatācārya, and the separately named Kṛṣṇadāsa Kavirāja residence.</w:t>
      </w:r>
    </w:p>
    <w:p>
      <w:pPr>
        <w:keepLines/>
      </w:pPr>
      <w:r>
        <w:rPr>
          <w:b/>
          <w:color w:val="18324A"/>
        </w:rPr>
        <w:t xml:space="preserve">TRANSLATION: </w:t>
      </w:r>
      <w:r>
        <w:t>The declaration traces books, premises, documents, and property through Rūpa/Sanātana/Raghunātha to Jīva, then Vilāsa, then the declarant; it separately notes an earlier settlement of Kavirāja’s dwelling to Haridāsa.</w:t>
      </w:r>
    </w:p>
    <w:p>
      <w:pPr>
        <w:keepLines/>
      </w:pPr>
      <w:r>
        <w:rPr>
          <w:b/>
          <w:color w:val="18324A"/>
        </w:rPr>
        <w:t xml:space="preserve">EVIDENCE LAYER: </w:t>
      </w:r>
      <w:r>
        <w:t>D.</w:t>
      </w:r>
    </w:p>
    <w:p>
      <w:pPr>
        <w:keepLines/>
      </w:pPr>
      <w:r>
        <w:rPr>
          <w:b/>
          <w:color w:val="18324A"/>
        </w:rPr>
        <w:t xml:space="preserve">WHAT THIS PROVES: </w:t>
      </w:r>
      <w:r>
        <w:t>A documented institutional succession and the necessary distinction between the two men.</w:t>
      </w:r>
    </w:p>
    <w:p>
      <w:pPr>
        <w:keepLines/>
      </w:pPr>
      <w:r>
        <w:rPr>
          <w:b/>
          <w:color w:val="18324A"/>
        </w:rPr>
        <w:t xml:space="preserve">WHAT THIS DOES NOT PROVE: </w:t>
      </w:r>
      <w:r>
        <w:t>Exact continuity of a present Kṛṣṇadāsa memorial or that Kavirāja was the 1637 declarant.</w:t>
      </w:r>
    </w:p>
    <w:p>
      <w:pPr>
        <w:pStyle w:val="Heading2"/>
        <w:keepNext/>
      </w:pPr>
      <w:r>
        <w:t>Evidence 12 — The 1642 watercourse and protections</w:t>
      </w:r>
    </w:p>
    <w:p>
      <w:pPr>
        <w:keepLines/>
      </w:pPr>
      <w:r>
        <w:rPr>
          <w:b/>
          <w:color w:val="18324A"/>
        </w:rPr>
        <w:t xml:space="preserve">CLAIM: </w:t>
      </w:r>
      <w:r>
        <w:t>A seventeenth-century administrative undertaking protected the nālā connected with Rādhā-kuṇḍa and restricted cultivation/tree damage.</w:t>
      </w:r>
    </w:p>
    <w:p>
      <w:pPr>
        <w:keepLines/>
      </w:pPr>
      <w:r>
        <w:rPr>
          <w:b/>
          <w:color w:val="18324A"/>
        </w:rPr>
        <w:t xml:space="preserve">SOURCE: </w:t>
      </w:r>
      <w:r>
        <w:t>Irfan Habib and Tarapada Mukherjee, Braj Bhum in Mughal Times.</w:t>
      </w:r>
    </w:p>
    <w:p>
      <w:pPr>
        <w:keepLines/>
      </w:pPr>
      <w:r>
        <w:rPr>
          <w:b/>
          <w:color w:val="18324A"/>
        </w:rPr>
        <w:t xml:space="preserve">EXACT LOCUS: </w:t>
      </w:r>
      <w:r>
        <w:t>Chapter 8, p. 167; AH 1052 / AD 1642 record involving Bari Khan, Chand, and Girdhar.</w:t>
      </w:r>
    </w:p>
    <w:p>
      <w:pPr>
        <w:keepLines/>
      </w:pPr>
      <w:r>
        <w:rPr>
          <w:b/>
          <w:color w:val="18324A"/>
        </w:rPr>
        <w:t xml:space="preserve">SHORT ORIGINAL QUOTATION: </w:t>
      </w:r>
      <w:r>
        <w:rPr>
          <w:i/>
          <w:color w:val="2D5256"/>
        </w:rPr>
        <w:t>The key documentary term retained in the study is “nālā,” the drain/channel associated with Rādhā-kuṇḍa.</w:t>
      </w:r>
    </w:p>
    <w:p>
      <w:pPr>
        <w:keepLines/>
      </w:pPr>
      <w:r>
        <w:rPr>
          <w:b/>
          <w:color w:val="18324A"/>
        </w:rPr>
        <w:t xml:space="preserve">TRANSLATION: </w:t>
      </w:r>
      <w:r>
        <w:t>A water channel or drain.</w:t>
      </w:r>
    </w:p>
    <w:p>
      <w:pPr>
        <w:keepLines/>
      </w:pPr>
      <w:r>
        <w:rPr>
          <w:b/>
          <w:color w:val="18324A"/>
        </w:rPr>
        <w:t xml:space="preserve">EVIDENCE LAYER: </w:t>
      </w:r>
      <w:r>
        <w:t>D.</w:t>
      </w:r>
    </w:p>
    <w:p>
      <w:pPr>
        <w:keepLines/>
      </w:pPr>
      <w:r>
        <w:rPr>
          <w:b/>
          <w:color w:val="18324A"/>
        </w:rPr>
        <w:t xml:space="preserve">WHAT THIS PROVES: </w:t>
      </w:r>
      <w:r>
        <w:t>Managed water infrastructure and environmental/land-use protection by 1642; it also corrects the later “1842” error.</w:t>
      </w:r>
    </w:p>
    <w:p>
      <w:pPr>
        <w:keepLines/>
      </w:pPr>
      <w:r>
        <w:rPr>
          <w:b/>
          <w:color w:val="18324A"/>
        </w:rPr>
        <w:t xml:space="preserve">WHAT THIS DOES NOT PROVE: </w:t>
      </w:r>
      <w:r>
        <w:t>The full hydraulic plan, exact mapped alignment, or continuity with every present drain.</w:t>
      </w:r>
    </w:p>
    <w:p>
      <w:pPr>
        <w:pStyle w:val="Heading1"/>
        <w:keepNext/>
      </w:pPr>
      <w:r>
        <w:t>SECTION 8 — LOCAL LIBRARY QUALITY AUDIT</w:t>
      </w:r>
    </w:p>
    <w:p>
      <w:pPr>
        <w:pStyle w:val="Heading2"/>
        <w:keepNext/>
      </w:pPr>
      <w:r>
        <w:t>Best searchable working texts</w:t>
      </w:r>
    </w:p>
    <w:p>
      <w:pPr>
        <w:pStyle w:val="ListBullet"/>
      </w:pPr>
      <w:r>
        <w:t>Govinda-līlāmṛta: the working corpus consists of distinct searchable witnesses, not one merged file: govinda-lilamrtam (mula-matram)_-_krsnadasa_kaviraja.docx; govinda-lilamrita (sargas 1 to 14)_-_krsnadasa_kaviraja_-_commentary 2.docx; govinda-lilamrita (sargas 15 to 23)_-_krsnadasa_kaviraja_-_commentary.docx; and the printed image-only Govinda-lilamrta-1.pdf. Preserve these witness identities in citation and verification.</w:t>
      </w:r>
    </w:p>
    <w:p>
      <w:pPr>
        <w:pStyle w:val="ListBullet"/>
      </w:pPr>
      <w:r>
        <w:t>Kṛṣṇa-bhāvanāmṛta: the searchable Sanskrit/English working witnesses, including Krishna Bhavanamrta.doc and Krishna Bhavanamrita Mahakavya.pdf, are best for navigation and discovery.</w:t>
      </w:r>
    </w:p>
    <w:p>
      <w:pPr>
        <w:pStyle w:val="ListBullet"/>
      </w:pPr>
      <w:r>
        <w:t>Vraja-rīti-cintāmaṇi: the Sanskrit DOCX is clean; the English file aids navigation.</w:t>
      </w:r>
    </w:p>
    <w:p>
      <w:pPr>
        <w:pStyle w:val="ListBullet"/>
      </w:pPr>
      <w:r>
        <w:t>Vraja-bhakti-vilāsa: the Sanskrit DOCX is extensive and appears complete through chapter 13.</w:t>
      </w:r>
    </w:p>
    <w:p>
      <w:pPr>
        <w:pStyle w:val="ListBullet"/>
      </w:pPr>
      <w:r>
        <w:t>Mathurā-māhātmya: the DOCX is clean and searchable.</w:t>
      </w:r>
    </w:p>
    <w:p>
      <w:pPr>
        <w:pStyle w:val="ListBullet"/>
      </w:pPr>
      <w:r>
        <w:t>Stavāvalī and Rādhā-Kṛṣṇa-gaṇoddeśa-dīpikā: searchable witnesses are present.</w:t>
      </w:r>
    </w:p>
    <w:p>
      <w:pPr>
        <w:pStyle w:val="ListBullet"/>
      </w:pPr>
      <w:r>
        <w:t>Bhakti-ratnākara: Bhakti Ratnakara all.doc is a broad, searchable English working/navigation witness that reaches Chapter/Taraṅga 15 and includes the later material needed by the project. Its extracted text ends within Chapter 15 without a final chapter close or colophon, so it must not yet be called definitively complete. The printed Bengali scan remains the verification witness.</w:t>
      </w:r>
    </w:p>
    <w:p>
      <w:pPr>
        <w:pStyle w:val="ListBullet"/>
      </w:pPr>
      <w:r>
        <w:t>Muktā-carita: Sanskrit - Mukta Carita.doc is searchable.</w:t>
      </w:r>
    </w:p>
    <w:p>
      <w:pPr>
        <w:pStyle w:val="ListBullet"/>
      </w:pPr>
      <w:r>
        <w:t>Kṛṣṇa-līlā-stava: sri-krsna-lila-stava_-_sanatana_gosvamin.docx is the complete authoritative local working file; it ends with verses 431–432 and a colophon.</w:t>
      </w:r>
    </w:p>
    <w:p>
      <w:pPr>
        <w:pStyle w:val="ListBullet"/>
      </w:pPr>
      <w:r>
        <w:t>Gopāla-campū Uttara: gopala-uttara-campu_-_jiva_gosvamin.docx is clean and searchable, with 37 pūraṇas represented.</w:t>
      </w:r>
    </w:p>
    <w:p>
      <w:pPr>
        <w:pStyle w:val="ListBullet"/>
      </w:pPr>
      <w:r>
        <w:t>Garga-saṁhitā: Garga Samhita all.doc is the main searchable/navigation aid.</w:t>
      </w:r>
    </w:p>
    <w:p>
      <w:pPr>
        <w:pStyle w:val="Heading2"/>
        <w:keepNext/>
      </w:pPr>
      <w:r>
        <w:t>Printed/scan verification witnesses</w:t>
      </w:r>
    </w:p>
    <w:p>
      <w:pPr>
        <w:pStyle w:val="ListBullet"/>
      </w:pPr>
      <w:r>
        <w:t>Govinda-lilamrta-1.pdf is the 242-page printed, image-only Govinda-līlāmṛta witness.</w:t>
      </w:r>
    </w:p>
    <w:p>
      <w:pPr>
        <w:pStyle w:val="ListBullet"/>
      </w:pPr>
      <w:r>
        <w:t>krishna_bhavanamritam_bengali_text.pdf is the large printed Sanskrit/Bengali/commentarial witness; its text layer is imperfect.</w:t>
      </w:r>
    </w:p>
    <w:p>
      <w:pPr>
        <w:pStyle w:val="ListBullet"/>
      </w:pPr>
      <w:r>
        <w:t>Printed/image witnesses are also present for Mathurā-māhātmya, Vraja-bhakti-vilāsa, Bhakti-ratnākara, Ānanda-vṛndāvana-campū, Garga-saṁhitā, and other works. They should verify important readings even where they cannot support rapid search.</w:t>
      </w:r>
    </w:p>
    <w:p>
      <w:pPr>
        <w:pStyle w:val="Heading2"/>
        <w:keepNext/>
      </w:pPr>
      <w:r>
        <w:t>Translation/navigation aids</w:t>
      </w:r>
    </w:p>
    <w:p>
      <w:pPr>
        <w:pStyle w:val="ListBullet"/>
      </w:pPr>
      <w:r>
        <w:t>Krishna Bhavanamrta.doc provides English navigation.</w:t>
      </w:r>
    </w:p>
    <w:p>
      <w:pPr>
        <w:pStyle w:val="ListBullet"/>
      </w:pPr>
      <w:r>
        <w:t>The English Vraja-rīti-cintāmaṇi file aids orientation alongside the Sanskrit text.</w:t>
      </w:r>
    </w:p>
    <w:p>
      <w:pPr>
        <w:pStyle w:val="ListBullet"/>
      </w:pPr>
      <w:r>
        <w:t>Dana Keli Kaumudi.doc is primarily an English translation/navigation aid; the associated PDF should be consulted for verification.</w:t>
      </w:r>
    </w:p>
    <w:p>
      <w:pPr>
        <w:pStyle w:val="ListBullet"/>
      </w:pPr>
      <w:r>
        <w:t>Anadna Vrindavana campu.doc is an English working/navigation text for Ānanda-vṛndāvana-campū.</w:t>
      </w:r>
    </w:p>
    <w:p>
      <w:pPr>
        <w:pStyle w:val="ListBullet"/>
      </w:pPr>
      <w:r>
        <w:t>Gopala Campu 1.doc provides English navigation for Pūrva material.</w:t>
      </w:r>
    </w:p>
    <w:p>
      <w:pPr>
        <w:pStyle w:val="ListBullet"/>
      </w:pPr>
      <w:r>
        <w:t>Gaura-gaṇoddeśa-dīpikā has an English working file; its Hindi PDF has only partial OCR.</w:t>
      </w:r>
    </w:p>
    <w:p>
      <w:pPr>
        <w:pStyle w:val="Heading2"/>
        <w:keepNext/>
      </w:pPr>
      <w:r>
        <w:t>Incomplete or superseded</w:t>
      </w:r>
    </w:p>
    <w:p>
      <w:pPr>
        <w:pStyle w:val="ListBullet"/>
      </w:pPr>
      <w:r>
        <w:t>books/Krsna Lila Stava.doc explicitly reports missing material (including part 12 and further incompleteness after part 14). It is not the completeness witness and is superseded by sri-krsna-lila-stava_-_sanatana_gosvamin.docx.</w:t>
      </w:r>
    </w:p>
    <w:p>
      <w:pPr>
        <w:pStyle w:val="ListBullet"/>
      </w:pPr>
      <w:r>
        <w:t>The Pūrva Gopāla-campū OCR, gopala_champu_hindi_hocr_searchtext.txt, is enormous and noisy. It confirms substantial Sanskrit/Hindi Pūrva representation but is not publication-quality.</w:t>
      </w:r>
    </w:p>
    <w:p>
      <w:pPr>
        <w:pStyle w:val="ListBullet"/>
      </w:pPr>
      <w:r>
        <w:t>The Jāhnavā Bhakti-ratnākara block is available through a working Romanized transcription/translation, but the image-only Bengali scan still requires direct verification.</w:t>
      </w:r>
    </w:p>
    <w:p>
      <w:pPr>
        <w:pStyle w:val="Heading2"/>
        <w:keepNext/>
      </w:pPr>
      <w:r>
        <w:t>Later secondary sources</w:t>
      </w:r>
    </w:p>
    <w:p>
      <w:pPr>
        <w:pStyle w:val="ListBullet"/>
      </w:pPr>
      <w:r>
        <w:t>Ananta Dāsa Bābājī is indispensable for later/local memory and document reception, but its historical claims must be cross-checked, as the 1642/1842 conflict demonstrates.</w:t>
      </w:r>
    </w:p>
    <w:p>
      <w:pPr>
        <w:pStyle w:val="ListBullet"/>
      </w:pPr>
      <w:r>
        <w:t>Entwistle is an important scholarly synthesis and site inventory, not a replacement for Mukherjee–Wright or the underlying 1637 document.</w:t>
      </w:r>
    </w:p>
    <w:p>
      <w:pPr>
        <w:pStyle w:val="ListBullet"/>
      </w:pPr>
      <w:r>
        <w:t>Growse and Drake-Brockman are valuable colonial descriptions for the condition and received history of the landscape in their periods; they are neither primary līlā sources nor transparent witnesses to sixteenth-century conditions.</w:t>
      </w:r>
    </w:p>
    <w:p>
      <w:pPr>
        <w:pStyle w:val="Heading2"/>
        <w:keepNext/>
      </w:pPr>
      <w:r>
        <w:t>Explicit confirmations</w:t>
      </w:r>
    </w:p>
    <w:p>
      <w:pPr>
        <w:keepLines w:val="0"/>
      </w:pPr>
      <w:r>
        <w:t>The complete Kṛṣṇa-līlā-stava is sri-krsna-lila-stava_-_sanatana_gosvamin.docx. The older books/Krsna Lila Stava.doc is incomplete. Both Pūrva and Uttara Gopāla-campū are represented locally, but Pūrva relies on noisy OCR/English navigation while Uttara has a clean Sanskrit DOCX. Bhakti Ratnakara all.doc supplies broad working coverage through Chapter/Taraṅga 15 but lacks a final colophon in the local extraction, so full completeness remains unverified; final Bengali quotation control is also weaker. Sanskrit Muktā-carita is searchable. For Govinda-līlāmṛta, use the separate mūla and two commentary DOCX witnesses for discovery and the printed image-only PDF for verification. For Kṛṣṇa-bhāvanāmṛta, use the searchable Sanskrit/English witnesses for discovery and the printed Sanskrit/Bengali/commentarial scan for verification.</w:t>
      </w:r>
    </w:p>
    <w:p>
      <w:pPr>
        <w:pStyle w:val="Heading1"/>
        <w:keepNext/>
      </w:pPr>
      <w:r>
        <w:t>SECTION 9 — EXACT NEXT RESEARCH PHASE</w:t>
      </w:r>
    </w:p>
    <w:p>
      <w:pPr>
        <w:keepLines w:val="0"/>
      </w:pPr>
      <w:r>
        <w:t>The next phase is exactly: RK-05 — HISTORICAL &amp; PHYSICAL RĀDHĀ-KUṆḌA.</w:t>
      </w:r>
    </w:p>
    <w:p>
      <w:pPr>
        <w:keepLines w:val="0"/>
      </w:pPr>
      <w:r>
        <w:t>It should proceed chronologically rather than beginning with a present-day monument inventory. The sequence should reconstruct the pre-development Āriṭ landscape; sixteenth-century land/property history and the 1579/1588 documentary complex; the 1637 institutional succession; the 1642 nālā and environmental protections; 1645–46 access, tree, cultivation, and property records; 1660s–70s gardens, kuñjas, roads, temple, settlement name, and management; 1710s–30s property claims, tanks, gardens, enclosures, access disputes, and spoil mounds; then ghāṭs, temples, causeway, water engineering, and patronage. Historical maps and the Growse/gazetteer evidence should be integrated before twentieth-century development and present physical geography are surveyed.</w:t>
      </w:r>
    </w:p>
    <w:p>
      <w:pPr>
        <w:keepLines w:val="0"/>
      </w:pPr>
      <w:r>
        <w:t>The first five RK-05 research blocks should be:</w:t>
      </w:r>
    </w:p>
    <w:p>
      <w:pPr>
        <w:spacing w:after="80"/>
        <w:ind w:left="360" w:hanging="360"/>
      </w:pPr>
      <w:r>
        <w:rPr>
          <w:b/>
          <w:color w:val="18324A"/>
        </w:rPr>
        <w:t xml:space="preserve">1.  </w:t>
      </w:r>
      <w:r>
        <w:t>Source-control and chronological spine: create a document-by-document calendar from Mukherjee–Habib, Mukherjee–Wright, and Braj Bhum in Mughal Times, recording date, original language, parties, legal act, property, quoted wording, document number, and verification status.</w:t>
      </w:r>
    </w:p>
    <w:p>
      <w:pPr>
        <w:spacing w:after="80"/>
        <w:ind w:left="360" w:hanging="360"/>
      </w:pPr>
      <w:r>
        <w:rPr>
          <w:b/>
          <w:color w:val="18324A"/>
        </w:rPr>
        <w:t xml:space="preserve">2.  </w:t>
      </w:r>
      <w:r>
        <w:t>Pre-development Āriṭ and sixteenth-century morphology: fields, ponds, tank/well, nālā, mounds, village/plot names, boundaries, early devotional presence, 1579, 1588, and the 1598 tax-free grant.</w:t>
      </w:r>
    </w:p>
    <w:p>
      <w:pPr>
        <w:spacing w:after="80"/>
        <w:ind w:left="360" w:hanging="360"/>
      </w:pPr>
      <w:r>
        <w:rPr>
          <w:b/>
          <w:color w:val="18324A"/>
        </w:rPr>
        <w:t xml:space="preserve">3.  </w:t>
      </w:r>
      <w:r>
        <w:t>1637 succession and institutional landscape: separate the two Kṛṣṇadāsas; trace Rūpa/Sanātana/Raghunātha → Jīva → Vilāsa → Kṛṣṇadāsa; distinguish textual custody, dwellings, gardens, property, and later memorials.</w:t>
      </w:r>
    </w:p>
    <w:p>
      <w:pPr>
        <w:spacing w:after="80"/>
        <w:ind w:left="360" w:hanging="360"/>
      </w:pPr>
      <w:r>
        <w:rPr>
          <w:b/>
          <w:color w:val="18324A"/>
        </w:rPr>
        <w:t xml:space="preserve">4.  </w:t>
      </w:r>
      <w:r>
        <w:t>1642–46 water, tree, cultivation, access, and property controls: recover the exact records and attempt a cautious spatial reconstruction of the nālā and protected areas.</w:t>
      </w:r>
    </w:p>
    <w:p>
      <w:pPr>
        <w:spacing w:after="80"/>
        <w:ind w:left="360" w:hanging="360"/>
      </w:pPr>
      <w:r>
        <w:rPr>
          <w:b/>
          <w:color w:val="18324A"/>
        </w:rPr>
        <w:t xml:space="preserve">5.  </w:t>
      </w:r>
      <w:r>
        <w:t>1658–1730 settlement and built-environment growth: kuñjas, gardens, roads, temples, tanks, enclosures, spoil, changing village name, patrons, and competing property memories.</w:t>
      </w:r>
    </w:p>
    <w:p>
      <w:pPr>
        <w:keepLines w:val="0"/>
      </w:pPr>
      <w:r>
        <w:t>These blocks are proposals only. This report does not perform RK-05.</w:t>
      </w:r>
    </w:p>
    <w:p>
      <w:pPr>
        <w:pStyle w:val="Heading1"/>
        <w:keepNext/>
      </w:pPr>
      <w:r>
        <w:t>SECTION 10 — FUTURE PROJECT ROADMAP</w:t>
      </w:r>
    </w:p>
    <w:p>
      <w:pPr>
        <w:spacing w:after="80"/>
        <w:ind w:left="360" w:hanging="360"/>
      </w:pPr>
      <w:r>
        <w:rPr>
          <w:b/>
          <w:color w:val="18324A"/>
        </w:rPr>
        <w:t xml:space="preserve">1.  </w:t>
      </w:r>
      <w:r>
        <w:t>Finish RK-05 — Historical &amp; Physical Rādhā-kuṇḍa.</w:t>
      </w:r>
    </w:p>
    <w:p>
      <w:pPr>
        <w:spacing w:after="80"/>
        <w:ind w:left="360" w:hanging="360"/>
      </w:pPr>
      <w:r>
        <w:rPr>
          <w:b/>
          <w:color w:val="18324A"/>
        </w:rPr>
        <w:t xml:space="preserve">2.  </w:t>
      </w:r>
      <w:r>
        <w:t>Update the Rādhā-kuṇḍa master dossier so it absorbs RK-05’s verified chronology, physical-history findings, corrected documentary rulings, and remaining uncertainties.</w:t>
      </w:r>
    </w:p>
    <w:p>
      <w:pPr>
        <w:spacing w:after="80"/>
        <w:ind w:left="360" w:hanging="360"/>
      </w:pPr>
      <w:r>
        <w:rPr>
          <w:b/>
          <w:color w:val="18324A"/>
        </w:rPr>
        <w:t xml:space="preserve">3.  </w:t>
      </w:r>
      <w:r>
        <w:t>Stop research at that checkpoint. Do not let further source gathering indefinitely postpone the test chapter.</w:t>
      </w:r>
    </w:p>
    <w:p>
      <w:pPr>
        <w:spacing w:after="80"/>
        <w:ind w:left="360" w:hanging="360"/>
      </w:pPr>
      <w:r>
        <w:rPr>
          <w:b/>
          <w:color w:val="18324A"/>
        </w:rPr>
        <w:t xml:space="preserve">4.  </w:t>
      </w:r>
      <w:r>
        <w:t>Draft the first full reader-facing Rādhā-kuṇḍa chapter from the master dossier and specialist ledgers, with the scholarly apparatus maintained separately.</w:t>
      </w:r>
    </w:p>
    <w:p>
      <w:pPr>
        <w:spacing w:after="80"/>
        <w:ind w:left="360" w:hanging="360"/>
      </w:pPr>
      <w:r>
        <w:rPr>
          <w:b/>
          <w:color w:val="18324A"/>
        </w:rPr>
        <w:t xml:space="preserve">5.  </w:t>
      </w:r>
      <w:r>
        <w:t>Have the user review and edit the chapter’s voice, pace, architecture, devotional register, and level of scholarly visibility.</w:t>
      </w:r>
    </w:p>
    <w:p>
      <w:pPr>
        <w:spacing w:after="80"/>
        <w:ind w:left="360" w:hanging="360"/>
      </w:pPr>
      <w:r>
        <w:rPr>
          <w:b/>
          <w:color w:val="18324A"/>
        </w:rPr>
        <w:t xml:space="preserve">6.  </w:t>
      </w:r>
      <w:r>
        <w:t>Only after the Rādhā-kuṇḍa prototype works should the full Govardhana Story begin.</w:t>
      </w:r>
    </w:p>
    <w:p>
      <w:pPr>
        <w:spacing w:after="80"/>
        <w:ind w:left="360" w:hanging="360"/>
      </w:pPr>
      <w:r>
        <w:rPr>
          <w:b/>
          <w:color w:val="18324A"/>
        </w:rPr>
        <w:t xml:space="preserve">7.  </w:t>
      </w:r>
      <w:r>
        <w:t>Research Govardhana using the same A/B/C/D layered method and three-map discipline.</w:t>
      </w:r>
    </w:p>
    <w:p>
      <w:pPr>
        <w:spacing w:after="80"/>
        <w:ind w:left="360" w:hanging="360"/>
      </w:pPr>
      <w:r>
        <w:rPr>
          <w:b/>
          <w:color w:val="18324A"/>
        </w:rPr>
        <w:t xml:space="preserve">8.  </w:t>
      </w:r>
      <w:r>
        <w:t>Draft and revise the Govardhana Story as the narrative and conceptual frame for the wider pilgrimage.</w:t>
      </w:r>
    </w:p>
    <w:p>
      <w:pPr>
        <w:spacing w:after="80"/>
        <w:ind w:left="360" w:hanging="360"/>
      </w:pPr>
      <w:r>
        <w:rPr>
          <w:b/>
          <w:color w:val="18324A"/>
        </w:rPr>
        <w:t xml:space="preserve">9.  </w:t>
      </w:r>
      <w:r>
        <w:t>Develop the approximately seventy-one individual pilgrimage-place entries inside that established frame.</w:t>
      </w:r>
    </w:p>
    <w:p>
      <w:pPr>
        <w:spacing w:after="80"/>
        <w:ind w:left="360" w:hanging="360"/>
      </w:pPr>
      <w:r>
        <w:rPr>
          <w:b/>
          <w:color w:val="18324A"/>
        </w:rPr>
        <w:t xml:space="preserve">10.  </w:t>
      </w:r>
      <w:r>
        <w:t>Combine mutually connected sites into continuous sacred landscapes, then add layered maps, images, field verification, and practical walking routes.</w:t>
      </w:r>
    </w:p>
    <w:p>
      <w:pPr>
        <w:pStyle w:val="Heading1"/>
        <w:keepNext/>
      </w:pPr>
      <w:r>
        <w:t>SECTION 11 — READINESS SELF-ASSESSMENT</w:t>
      </w:r>
    </w:p>
    <w:p>
      <w:pPr>
        <w:spacing w:before="40" w:after="80"/>
        <w:ind w:left="115" w:right="115"/>
        <w:jc w:val="center"/>
        <w:shd w:fill="DCEAEA"/>
      </w:pPr>
      <w:r>
        <w:rPr>
          <w:rFonts w:ascii="Aptos Display" w:hAnsi="Aptos Display"/>
          <w:b/>
          <w:color w:val="18324A"/>
          <w:sz w:val="28"/>
        </w:rPr>
        <w:t>READY WITH MINOR SOURCE GAPS</w:t>
      </w:r>
    </w:p>
    <w:p>
      <w:pPr>
        <w:keepLines w:val="0"/>
      </w:pPr>
      <w:r>
        <w:t>The project is safe to continue because all five canonical documents were opened and read; their functions and non-loss rules are coherent; the current Rādhā-kuṇḍa conclusions can be reconstructed at claim level; the A/B/C/D and three-map methods are understood; exact high-value passages can be retrieved; and the new documentary sources materially correct the 1588, 1637, 1642, and later development record without forcing premature synthesis. The next phase and its boundaries are also clear.</w:t>
      </w:r>
    </w:p>
    <w:p>
      <w:pPr>
        <w:keepLines w:val="0"/>
      </w:pPr>
      <w:r>
        <w:t>The gaps are real but not disqualifying for beginning RK-05: no local standalone searchable Śrīmad-Bhāgavatam or Caitanya-caritāmṛta edition; no Survey of India sheet 54 E/6; several image-only or poor-OCR printed witnesses; no publication-quality searchable complete Bengali Bhakti-ratnākara; noisy Pūrva Gopāla-campū OCR; and incomplete access to facsimiles of every archival deed. These gaps must be logged and repaired where RK-05 or final publication depends on them. None prevents a controlled next research phase based on the already available documentary studies and canonical ledgers.</w:t>
      </w:r>
    </w:p>
    <w:p>
      <w:r>
        <w:br w:type="page"/>
      </w:r>
    </w:p>
    <w:p>
      <w:pPr>
        <w:pStyle w:val="Heading1"/>
        <w:keepNext/>
      </w:pPr>
      <w:r>
        <w:t>SECTION 12 — HANDOFF TO ORIGINAL GOVARDHANA CHAT</w:t>
      </w:r>
    </w:p>
    <w:p>
      <w:pPr>
        <w:pStyle w:val="Heading2"/>
        <w:keepNext/>
      </w:pPr>
      <w:r>
        <w:t>HANDOFF TO ORIGINAL GOVARDHANA CHAT</w:t>
      </w:r>
    </w:p>
    <w:p>
      <w:pPr>
        <w:keepLines w:val="0"/>
      </w:pPr>
      <w:r>
        <w:t>The local Govardhana project has now been tested for continuity against the actual files rather than against remembered conversation. All five canonical documents were successfully opened and read: Govardhana_Pilgrimage_Master_Research_Framework_v0.2.docx; 01_Radhakunda_Research_Dossier_v0.4.docx; RK-02_Radhakunda_Nitya-lila_and_Sacred_Geography_Research_Ledger_v0.2.docx; RK-03_Radhakunda_People_of_the_Landscape_Research_Ledger_v0.3.docx; and RK-04_Radhakunda_Caitanya_Gosvamis_and_Gaudiya_History_Research_Ledger_v0.3.docx. Each appears complete and readable. The framework governs the whole approximately seventy-one-place pilgrimage project; the dossier is the controlling Rādhā-kuṇḍa synthesis; and RK-02, RK-03, and RK-04 preserve the specialist evidence for nitya-līlā geography, people/sevā, and early Gauḍīya history.</w:t>
      </w:r>
    </w:p>
    <w:p>
      <w:pPr>
        <w:keepLines w:val="0"/>
      </w:pPr>
      <w:r>
        <w:t>The project’s objective is understood as a book-scale reconstruction of Govardhana as a connected sacred landscape, not a list of sites. Its method is “story first.” The Rādhā-kuṇḍa Story is the prototype: research the textual foundation, sacred geography, people, Gauḍīya history, and historical/physical development before drafting a reader-facing chapter. That chapter must be readable, devotional, and spatially intelligible while its separate scholarly apparatus preserves exact sources, quotations, translations, negative findings, and disputes. After the user has reviewed the chapter’s voice and architecture, the project can construct the larger Govardhana Story. Only then should the approximately seventy-one individual place entries be developed and connected into larger pilgrimage landscapes with maps, images, field observation, and walking routes.</w:t>
      </w:r>
    </w:p>
    <w:p>
      <w:pPr>
        <w:keepLines w:val="0"/>
      </w:pPr>
      <w:r>
        <w:t>The evidence method is also understood. A means primary scripture and Gosvāmī texts; B means early Vraja pilgrimage and localization tradition; C means later/local tradition; D means documentary and historical evidence. These layers answer different questions and cannot be treated as a ladder in which a later shrine automatically becomes an early textual location. The three maps must remain distinct: nitya-līlā textual geography; early pilgrimage/localization geography; and historically documented/present physical geography. For example, Govinda-līlāmṛta’s eternal setu does not prove the identity of the modern causeway; its northwest Subala/Mānasa-pāvana direction must not be silently harmonized with Bhakti-ratnākara’s “north”; and a present sakhī shrine does not itself fix a Gosvāmī text’s eternal sector on a modern parcel.</w:t>
      </w:r>
    </w:p>
    <w:p>
      <w:pPr>
        <w:keepLines w:val="0"/>
      </w:pPr>
      <w:r>
        <w:t>The current Rādhā-kuṇḍa state is mature through RK-04. Śrīmad-Bhāgavatam 10.36 supplies the Ariṣṭāsura foundation but does not contain the familiar full twin-kuṇḍa manifestation. That fuller twenty-verse account is preserved through Viśvanātha Cakravartī’s commentary, but its exact Purāṇic source/recension remains unresolved. Early terminology favors Ariṣṭa-kuṇḍa/Ariṣṭa-saras/Kṛṣṇa-kuṇḍa; the earliest secure normal use of Śyāma-kuṇḍa remains open. Mathurā-māhātmya 418–423 establishes the paired tīrthas and the theology that Rādhā’s kuṇḍa is dear as Rādhā is dear. Raghunātha’s Vilāpa-kusumāñjali 97 anchors the lake as his desired abode of Rādhā-dāsya.</w:t>
      </w:r>
    </w:p>
    <w:p>
      <w:pPr>
        <w:keepLines w:val="0"/>
      </w:pPr>
      <w:r>
        <w:t>Govinda-līlāmṛta Sarga 7 establishes the detailed eternal landscape: steps, four cardinal tīrthas, the twin-kuṇḍa saṅgama and setu, a full service-garden environment, the eight sakhī sectors, Anaṅga Mañjarī’s central sixteen-petalled water-lotus residence, Lalitā’s extensive internal micro-geography, and the separate priya-narma-sakhā kuñja system around the companion lake. Kṛṣṇa-bhāvanāmṛta corroborates the directional order, adds six-season geography, and helps reconstruct the moving midday cycle through appointments, pretexts, convergence, grove and seasonal play, return for water play, games and service, and eventual social closure. The texts must not be forced into one artificial chronology.</w:t>
      </w:r>
    </w:p>
    <w:p>
      <w:pPr>
        <w:keepLines w:val="0"/>
      </w:pPr>
      <w:r>
        <w:t>The landscape is populated as a sevā ecology. The aṣṭa-sakhīs organize sectors, arts, counsel, access, and emotional service. Mañjarīs/kiṅkarīs provide intimate service, but variant lists and identities must remain source-specific. Vṛndā organizes the forests, seasons, and service environment; Paurṇamāsī oversees the larger design; Kundalatā and Nandīmukhī manage messages, social explanations, and meeting logistics; Tulasī is securely an operational servant/messenger, while her identity with Rati Mañjarī/Bhānumatī remains open. Subala, Madhumaṅgala, Ujjvala, and other priya-narma-sakhās provide confidential knowledge, counsel, cover, and facilitation. Jatilā, Abhimanyu, Kuṭilā, Mukharā, and others constitute the household world that makes clandestine movement narratively meaningful.</w:t>
      </w:r>
    </w:p>
    <w:p>
      <w:pPr>
        <w:keepLines w:val="0"/>
      </w:pPr>
      <w:r>
        <w:t>The early Gauḍīya history is equally controlled. CC Madhya 18.5 calls the tīrtha lupta and describes Mahāprabhu bathing in little water in two paddy fields at Āriṭ-grāma. The correct ruling is reidentification/rediscovery of an obscured tīrtha, not creation of the lakes. Bhakti-ratnākara remembers Raghunātha directing paṅkoddhāra and then careful excavation with many laborers, financed by an unnamed wealthy pilgrim after a Badarikāśrama dream. It also preserves the Pāṇḍava-tree explanation of the irregular companion lake and the first-kuṭīra narrative. These are B-layer devotional-historical traditions, not modern archaeological proof. Jīva’s secure role is institutional, textual, and property-related; Kṛṣṇadāsa Kavirāja belongs to the Raghunātha-centered literary/community network. Jāhnavā’s multi-day visit and kadamba-tree vision are B-level; the northern ghāṭ/baithak and its bakula are later C-level localization. Two Śrīnivāsa visits remain distinct: the earlier visit sent by Jīva and the later Rāghava-guided journey with Narottama, which exemplifies text-guided pilgrimage at Mālyahāri and the surrounding sites.</w:t>
      </w:r>
    </w:p>
    <w:p>
      <w:pPr>
        <w:keepLines w:val="0"/>
      </w:pPr>
      <w:r>
        <w:t>The newly inspected documentary sources make important corrections. Mukherjee and Habib’s “Land Rights in the Reign of Akbar,” especially pp. 237–239 and the document calendar at pp. 248–249, identifies the Persian declaration dated 7 Rajab 996 AH / 2 June 1588: Raghunātha says that he had purchased six plots near the tank for the stated aggregate price of Rs.238 and then conveyed those plots to Jīva by hiba. Hiba means gift. Thus Rs.238 belongs to the reported earlier acquisitions; the 1588 transfer to Jīva is not a sale. The purported dates of the individual acquisition deeds remain problematic because Mukherjee and Habib find retrospective/fictitious preparation.</w:t>
      </w:r>
    </w:p>
    <w:p>
      <w:pPr>
        <w:keepLines w:val="0"/>
      </w:pPr>
      <w:r>
        <w:t>Mukherjee and Wright’s “An Early Testamentary Document in Sanskrit,” pp. 316–318, removes dependence on an Entwistle-to-Bansal summary for 1637. Crucially, its declarant Kṛṣṇadāsa son of Bharatācārya is not Kṛṣṇadāsa Kavirāja. The document traces books, premises, records, and property through the Gosvāmī institutional succession to Jīva, Vilāsa, and the declarant, while mentioning Kavirāja’s dwelling separately. Habib and Mukherjee’s Braj Bhum in Mughal Times then supplies a fuller chronological landscape. Its AH 1052/AD 1642 record concerning the nālā and restrictions on cultivation/tree damage corrects the erroneous “1842” heading found in a later local source. Related 1645–46 records protect the nālā, trees, ghāṭ access, and Jīva-associated property. Records from the 1650s–70s show purchased plots, kuñjas, roads, a temple, gardens, environmental controls, and the gradual settlement-name shift from Āriṭ/Rādhākuṇḍ to Rādhākuṇḍ. Early eighteenth-century materials show pond and garden claims, enclosures, access disputes, kuñjas, and spoil mounds. They document development; they do not prove that a single later proprietor originally created the sacred lakes.</w:t>
      </w:r>
    </w:p>
    <w:p>
      <w:pPr>
        <w:keepLines w:val="0"/>
      </w:pPr>
      <w:r>
        <w:t>The local textual library is sufficient for controlled continuation but not perfect. Strong searchable working witnesses exist for Govinda-līlāmṛta, Kṛṣṇa-bhāvanāmṛta, Vraja-rīti-cintāmaṇi, Vraja-bhakti-vilāsa, Mathurā-māhātmya, Stavāvalī, Rādhā-Kṛṣṇa-gaṇoddeśa-dīpikā, Bhakti-ratnākara, Sanskrit Muktā-carita, and the complete Kṛṣṇa-līlā-stava. The complete Kṛṣṇa-līlā-stava is sri-krsna-lila-stava_-_sanatana_gosvamin.docx; the older books/Krsna Lila Stava.doc explicitly is incomplete. Pūrva and Uttara Gopāla-campū are represented, although Pūrva’s Sanskrit/Hindi OCR is noisy and Uttara’s Sanskrit DOCX is much cleaner. Govinda-līlāmṛta is represented by distinct mūla, Sargas 1–14 commentary, Sargas 15–23 commentary, and printed witnesses. Bhakti Ratnakara all.doc reaches Chapter/Taraṅga 15 but its local extraction ends without a final colophon, so it is broad working coverage rather than a proven complete edition. Final Bengali quotations—especially the Jāhnavā passage—still need a directly checked printed witness.</w:t>
      </w:r>
    </w:p>
    <w:p>
      <w:pPr>
        <w:keepLines w:val="0"/>
      </w:pPr>
      <w:r>
        <w:t>The unresolved list must stay active. It includes the fuller narrative’s Purāṇic provenance; the name Śyāma-kuṇḍa; Govinda-līlāmṛta 7.111–117 and the terms vibhajyārpitāḥ and sva-kāntāgrahato ’tisaṁskṛtaiḥ; the reason the sakhā kuñjas are assigned to the sakhīs; Madhumaṅgala’s grove reading; Tulasī/Rati/Bhānumatī identity; northwest versus north Mānasa-pāvana; Aśoka versus Vañjula; Varṣā-harṣa versus Hindola-kuṭṭima; textual setu versus present causeway; continuity of present kuṭīras, ghāṭs, and shrines; the Jāhnavā kadamba/bakula/tamāla genealogy; and the historical development of tanks, ghāṭs, temples, roads, gardens, drainage, and water engineering.</w:t>
      </w:r>
    </w:p>
    <w:p>
      <w:pPr>
        <w:keepLines w:val="0"/>
      </w:pPr>
      <w:r>
        <w:t>The next phase must be RK-05 — HISTORICAL &amp; PHYSICAL RĀDHĀ-KUṆḌA. It should begin with a controlled document calendar and the pre-development Āriṭ landscape, then move chronologically through sixteenth-century property history, 1588, 1637, 1642, 1645–46, the 1660s–70s, the 1710s–30s, tank/garden/kuñja growth, ghāṭs, temples, causeway, water engineering, historical maps, Growse and gazetteer evidence, twentieth-century change, and present geography. RK-05 has not been performed in this report.</w:t>
      </w:r>
    </w:p>
    <w:p>
      <w:pPr>
        <w:keepLines w:val="0"/>
      </w:pPr>
      <w:r>
        <w:t>Final readiness ruling: READY WITH MINOR SOURCE GAPS. The project is safe to continue because the canonical architecture, claims, evidence discipline, exact passages, documentary corrections, unresolved questions, and next phase are all recoverable from the local files. The remaining gaps—especially standalone local SB/CC editions, Survey of India sheet 54 E/6, image-only or poor-OCR witnesses, direct Bengali Bhakti-ratnākara verification, cleaner Pūrva Gopāla-campū text, and fuller archival facsimile access—should be logged and repaired as needed, but they do not prevent a careful RK-05.</w:t>
      </w:r>
    </w:p>
    <w:sectPr w:rsidR="00FC693F" w:rsidRPr="0006063C" w:rsidSect="00034616">
      <w:headerReference w:type="default" r:id="rId9"/>
      <w:footerReference w:type="default" r:id="rId10"/>
      <w:pgSz w:w="12240" w:h="15840"/>
      <w:pgMar w:top="1037" w:right="1181" w:bottom="979" w:left="1181" w:header="403"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ptos" w:hAnsi="Aptos"/>
        <w:color w:val="5B656C"/>
        <w:sz w:val="16"/>
      </w:rPr>
      <w:t xml:space="preserve">GOVARDHANA PILGRIMAGE   •   </w:t>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Bdr>
        <w:bottom w:val="single" w:sz="8" w:space="5" w:color="B8954E"/>
      </w:pBdr>
    </w:pPr>
    <w:r>
      <w:rPr>
        <w:rFonts w:ascii="Aptos" w:hAnsi="Aptos"/>
        <w:b/>
        <w:color w:val="25767A"/>
        <w:sz w:val="16"/>
      </w:rPr>
      <w:t>GOVARDHANA PILGRIMAGE  /  READINESS &amp; CONTINUITY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20" w:line="259" w:lineRule="auto"/>
    </w:pPr>
    <w:rPr>
      <w:rFonts w:ascii="Aptos" w:hAnsi="Aptos"/>
      <w:color w:val="252C31"/>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40"/>
      <w:outlineLvl w:val="0"/>
    </w:pPr>
    <w:rPr>
      <w:rFonts w:asciiTheme="majorHAnsi" w:eastAsiaTheme="majorEastAsia" w:hAnsiTheme="majorHAnsi" w:cstheme="majorBidi" w:ascii="Aptos Display" w:hAnsi="Aptos Display"/>
      <w:b/>
      <w:bCs/>
      <w:color w:val="18324A"/>
      <w:sz w:val="34"/>
      <w:szCs w:val="28"/>
    </w:rPr>
  </w:style>
  <w:style w:type="paragraph" w:styleId="Heading2">
    <w:name w:val="heading 2"/>
    <w:basedOn w:val="Normal"/>
    <w:next w:val="Normal"/>
    <w:link w:val="Heading2Char"/>
    <w:uiPriority w:val="9"/>
    <w:unhideWhenUsed/>
    <w:qFormat/>
    <w:rsid w:val="00FC693F"/>
    <w:pPr>
      <w:keepNext/>
      <w:keepLines/>
      <w:spacing w:before="220" w:after="80"/>
      <w:outlineLvl w:val="1"/>
    </w:pPr>
    <w:rPr>
      <w:rFonts w:asciiTheme="majorHAnsi" w:eastAsiaTheme="majorEastAsia" w:hAnsiTheme="majorHAnsi" w:cstheme="majorBidi" w:ascii="Aptos Display" w:hAnsi="Aptos Display"/>
      <w:b/>
      <w:bCs/>
      <w:color w:val="25767A"/>
      <w:sz w:val="25"/>
      <w:szCs w:val="26"/>
    </w:rPr>
  </w:style>
  <w:style w:type="paragraph" w:styleId="Heading3">
    <w:name w:val="heading 3"/>
    <w:basedOn w:val="Normal"/>
    <w:next w:val="Normal"/>
    <w:link w:val="Heading3Char"/>
    <w:uiPriority w:val="9"/>
    <w:unhideWhenUsed/>
    <w:qFormat/>
    <w:rsid w:val="00FC693F"/>
    <w:pPr>
      <w:keepNext/>
      <w:keepLines/>
      <w:spacing w:before="160" w:after="60"/>
      <w:outlineLvl w:val="2"/>
    </w:pPr>
    <w:rPr>
      <w:rFonts w:asciiTheme="majorHAnsi" w:eastAsiaTheme="majorEastAsia" w:hAnsiTheme="majorHAnsi" w:cstheme="majorBidi" w:ascii="Aptos Display" w:hAnsi="Aptos Display"/>
      <w:b/>
      <w:bCs/>
      <w:color w:val="18324A"/>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8324A"/>
      <w:spacing w:val="5"/>
      <w:kern w:val="28"/>
      <w:sz w:val="5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ind w:left="360" w:hanging="259"/>
      <w:contextualSpacing/>
    </w:pPr>
    <w:rPr>
      <w:rFonts w:ascii="Aptos" w:hAnsi="Aptos"/>
      <w:color w:val="252C31"/>
      <w:sz w:val="20"/>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ind w:left="360" w:hanging="259"/>
      <w:contextualSpacing/>
    </w:pPr>
    <w:rPr>
      <w:rFonts w:ascii="Aptos" w:hAnsi="Aptos"/>
      <w:color w:val="252C31"/>
      <w:sz w:val="20"/>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ourceQuote">
    <w:name w:val="Source Quote"/>
    <w:basedOn w:val="Normal"/>
    <w:pPr>
      <w:spacing w:before="40" w:after="100"/>
      <w:ind w:left="360" w:right="259"/>
    </w:pPr>
    <w:rPr>
      <w:rFonts w:ascii="Aptos" w:hAnsi="Aptos"/>
      <w:i/>
      <w:color w:val="2D5256"/>
      <w:sz w:val="19"/>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Govardhana Pilgrimage — Project Readiness &amp; Continuity Report</dc:title>
  <dc:subject>Canonical orientation, source control, documentary corrections, and project handoff</dc:subject>
  <dc:creator>Govardhana Pilgrimage Project</dc:creator>
  <cp:keywords>Govardhana, Rādhā-kuṇḍa, pilgrimage, source control, readiness</cp:keywords>
  <dc:description>Revised 19 August 2026 after continuity review: six corrections accepted; Bhakti-ratnākara completeness qualified.</dc:description>
  <cp:lastModifiedBy/>
  <cp:revision>1</cp:revision>
  <dcterms:created xsi:type="dcterms:W3CDTF">2013-12-23T23:15:00Z</dcterms:created>
  <dcterms:modified xsi:type="dcterms:W3CDTF">2013-12-23T23:15:00Z</dcterms:modified>
  <cp:category/>
</cp:coreProperties>
</file>