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1000" w:before="0" w:line="240" w:lineRule="auto"/>
      </w:pPr>
      <w:r>
        <w:rPr>
          <w:rFonts w:ascii="Calibri" w:cs="Calibri" w:eastAsia="Calibri" w:hAnsi="Calibri"/>
          <w:b w:val="false"/>
          <w:bCs w:val="false"/>
          <w:i w:val="false"/>
          <w:iCs w:val="false"/>
          <w:caps w:val="false"/>
          <w:color w:val="28231F"/>
          <w:sz w:val="22"/>
          <w:szCs w:val="22"/>
        </w:rPr>
        <w:t xml:space="preserve"/>
      </w:r>
    </w:p>
    <w:p>
      <w:pPr>
        <w:keepNext w:val="false"/>
        <w:keepLines/>
        <w:spacing w:after="200" w:before="0" w:line="300" w:lineRule="auto"/>
        <w:jc w:val="center"/>
      </w:pPr>
      <w:r>
        <w:rPr>
          <w:rFonts w:ascii="Calibri" w:cs="Calibri" w:eastAsia="Calibri" w:hAnsi="Calibri"/>
          <w:b/>
          <w:bCs/>
          <w:i w:val="false"/>
          <w:iCs w:val="false"/>
          <w:caps/>
          <w:color w:val="B58A3A"/>
          <w:sz w:val="20"/>
          <w:szCs w:val="20"/>
        </w:rPr>
        <w:t xml:space="preserve">GOVARDHANA PILGRIMAGE</w:t>
      </w:r>
    </w:p>
    <w:p>
      <w:pPr>
        <w:keepNext w:val="false"/>
        <w:keepLines/>
        <w:spacing w:after="260" w:before="0" w:line="300" w:lineRule="auto"/>
        <w:jc w:val="center"/>
      </w:pPr>
      <w:r>
        <w:rPr>
          <w:rFonts w:ascii="Calibri" w:cs="Calibri" w:eastAsia="Calibri" w:hAnsi="Calibri"/>
          <w:b w:val="false"/>
          <w:bCs w:val="false"/>
          <w:i w:val="false"/>
          <w:iCs w:val="false"/>
          <w:caps w:val="false"/>
          <w:color w:val="762F3B"/>
          <w:sz w:val="28"/>
          <w:szCs w:val="28"/>
        </w:rPr>
        <w:t xml:space="preserve">Rādhā-kuṇḍa Research Series</w:t>
      </w:r>
    </w:p>
    <w:p>
      <w:pPr>
        <w:keepNext w:val="false"/>
        <w:keepLines/>
        <w:spacing w:after="100" w:before="0" w:line="300" w:lineRule="auto"/>
        <w:jc w:val="center"/>
      </w:pPr>
      <w:r>
        <w:rPr>
          <w:rFonts w:ascii="Calibri" w:cs="Calibri" w:eastAsia="Calibri" w:hAnsi="Calibri"/>
          <w:b/>
          <w:bCs/>
          <w:i w:val="false"/>
          <w:iCs w:val="false"/>
          <w:caps w:val="false"/>
          <w:color w:val="B58A3A"/>
          <w:sz w:val="22"/>
          <w:szCs w:val="22"/>
        </w:rPr>
        <w:t xml:space="preserve">RS-02</w:t>
      </w:r>
    </w:p>
    <w:p>
      <w:pPr>
        <w:keepNext w:val="false"/>
        <w:keepLines/>
        <w:spacing w:after="160" w:before="0" w:line="420" w:lineRule="auto"/>
        <w:jc w:val="center"/>
      </w:pPr>
      <w:r>
        <w:rPr>
          <w:rFonts w:ascii="Calibri" w:cs="Calibri" w:eastAsia="Calibri" w:hAnsi="Calibri"/>
          <w:b/>
          <w:bCs/>
          <w:i w:val="false"/>
          <w:iCs w:val="false"/>
          <w:caps w:val="false"/>
          <w:color w:val="762F3B"/>
          <w:sz w:val="40"/>
          <w:szCs w:val="40"/>
        </w:rPr>
        <w:t xml:space="preserve">Theological Architecture of the Manifestation Līlā</w:t>
      </w:r>
    </w:p>
    <w:p>
      <w:pPr>
        <w:keepNext w:val="false"/>
        <w:keepLines/>
        <w:spacing w:after="360" w:before="0" w:line="330" w:lineRule="auto"/>
        <w:jc w:val="center"/>
      </w:pPr>
      <w:r>
        <w:rPr>
          <w:rFonts w:ascii="Calibri" w:cs="Calibri" w:eastAsia="Calibri" w:hAnsi="Calibri"/>
          <w:b w:val="false"/>
          <w:bCs w:val="false"/>
          <w:i w:val="false"/>
          <w:iCs w:val="false"/>
          <w:caps w:val="false"/>
          <w:color w:val="28231F"/>
          <w:sz w:val="25"/>
          <w:szCs w:val="25"/>
        </w:rPr>
        <w:t xml:space="preserve">From playful dharma-challenge to Rādhā’s grace, mutual dearness, nitya-līlā, and rāsa</w:t>
      </w:r>
    </w:p>
    <w:p>
      <w:pPr>
        <w:keepNext w:val="false"/>
        <w:keepLines/>
        <w:pBdr>
          <w:top w:val="single" w:color="B58A3A" w:sz="8"/>
          <w:bottom w:val="single" w:color="D6C7B6" w:sz="3"/>
          <w:left w:val="single" w:color="B58A3A" w:sz="8"/>
          <w:right w:val="single" w:color="D6C7B6" w:sz="3"/>
        </w:pBdr>
        <w:shd w:fill="F7F1E7"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RESEARCH PURPOSE  </w:t>
      </w:r>
      <w:r>
        <w:rPr>
          <w:rFonts w:ascii="Calibri" w:cs="Calibri" w:eastAsia="Calibri" w:hAnsi="Calibri"/>
          <w:b w:val="false"/>
          <w:bCs w:val="false"/>
          <w:i w:val="false"/>
          <w:iCs w:val="false"/>
          <w:caps w:val="false"/>
          <w:color w:val="28231F"/>
          <w:sz w:val="20"/>
          <w:szCs w:val="20"/>
        </w:rPr>
        <w:t xml:space="preserve">To determine how the twenty-verse manifestation account should be interpreted within the verified Gosvāmī corpus before the literary Story of Rādhā-kuṇḍa is written.</w:t>
      </w:r>
    </w:p>
    <w:p>
      <w:pPr>
        <w:keepNext w:val="false"/>
        <w:keepLines/>
        <w:spacing w:after="260" w:before="0" w:line="240" w:lineRule="auto"/>
      </w:pPr>
      <w:r>
        <w:rPr>
          <w:rFonts w:ascii="Calibri" w:cs="Calibri" w:eastAsia="Calibri" w:hAnsi="Calibri"/>
          <w:b w:val="false"/>
          <w:bCs w:val="false"/>
          <w:i w:val="false"/>
          <w:iCs w:val="false"/>
          <w:caps w:val="false"/>
          <w:color w:val="28231F"/>
          <w:sz w:val="22"/>
          <w:szCs w:val="22"/>
        </w:rPr>
        <w:t xml:space="preserve"/>
      </w:r>
    </w:p>
    <w:p>
      <w:pPr>
        <w:keepNext w:val="false"/>
        <w:keepLines/>
        <w:spacing w:after="100" w:before="0" w:line="300" w:lineRule="auto"/>
        <w:jc w:val="center"/>
      </w:pPr>
      <w:r>
        <w:rPr>
          <w:rFonts w:ascii="Calibri" w:cs="Calibri" w:eastAsia="Calibri" w:hAnsi="Calibri"/>
          <w:b w:val="false"/>
          <w:bCs w:val="false"/>
          <w:i w:val="false"/>
          <w:iCs w:val="false"/>
          <w:caps w:val="false"/>
          <w:color w:val="6E645D"/>
          <w:sz w:val="18"/>
          <w:szCs w:val="18"/>
        </w:rPr>
        <w:t xml:space="preserve">Research control document · v1.0 · 20 August 2026</w:t>
      </w:r>
    </w:p>
    <w:p>
      <w:pPr>
        <w:keepNext w:val="false"/>
        <w:keepLines/>
        <w:spacing w:after="0" w:before="0" w:line="300" w:lineRule="auto"/>
        <w:jc w:val="center"/>
      </w:pPr>
      <w:r>
        <w:rPr>
          <w:rFonts w:ascii="Calibri" w:cs="Calibri" w:eastAsia="Calibri" w:hAnsi="Calibri"/>
          <w:b w:val="false"/>
          <w:bCs w:val="false"/>
          <w:i/>
          <w:iCs/>
          <w:caps w:val="false"/>
          <w:color w:val="6E645D"/>
          <w:sz w:val="18"/>
          <w:szCs w:val="18"/>
        </w:rPr>
        <w:t xml:space="preserve">Theological research complete for this unit; guidebook prose not yet begun</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1. Executive theological ruling</w:t>
      </w:r>
    </w:p>
    <w:p>
      <w:pPr>
        <w:keepNext w:val="false"/>
        <w:keepLines/>
        <w:pBdr>
          <w:top w:val="single" w:color="B58A3A" w:sz="8"/>
          <w:bottom w:val="single" w:color="D6C7B6" w:sz="3"/>
          <w:left w:val="single" w:color="B58A3A" w:sz="8"/>
          <w:right w:val="single" w:color="D6C7B6" w:sz="3"/>
        </w:pBdr>
        <w:shd w:fill="F4E8EA"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BOTTOM LINE  </w:t>
      </w:r>
      <w:r>
        <w:rPr>
          <w:rFonts w:ascii="Calibri" w:cs="Calibri" w:eastAsia="Calibri" w:hAnsi="Calibri"/>
          <w:b w:val="false"/>
          <w:bCs w:val="false"/>
          <w:i w:val="false"/>
          <w:iCs w:val="false"/>
          <w:caps w:val="false"/>
          <w:color w:val="28231F"/>
          <w:sz w:val="20"/>
          <w:szCs w:val="20"/>
        </w:rPr>
        <w:t xml:space="preserve">The manifestation story is a progressive revelation. It begins with playful speech about dharma, displays Kṛṣṇa’s sovereignty over all tīrthas, then turns toward Rādhā’s independent manifestation, the tīrthas’ dependence upon Her grace, the joining of the two ponds, reciprocal declarations of dearness, and the revelation of Rādhā-kuṇḍa as an eternal water-play and rāsa environment. The story should therefore be narrated as līlā and theological disclosure—not as evidence that Kṛṣṇa was actually impure or that Rādhā and Kṛṣṇa were engaged in an ordinary contest.</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Controlling findings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Raghunātha dāsa Gosvāmī explicitly characterizes the manifestation exchange as narma-dharmokti-raṅga—delightful, playful speech concerning dharma.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opening charge has dramatic seriousness inside the līlā, but it cannot be used to establish ontological impurity in Kṛṣṇa.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Kṛṣṇa’s heel strike and summons of the tīrthas reveal mastery; the subsequent petition reveals that Rādhā’s grace governs admission to Her kuṇḍa.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central Gauḍīya formula is equivalence of dearness: as Rādhā is dear to Kṛṣṇa, Her kuṇḍa is dear to Him.</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full narrative is reciprocal. Kṛṣṇa praises and eternally serves Rādhā-kuṇḍa; Rādhā in turn blesses the pond of Ariṣṭa’s subduer and those devoted to it.</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words nityam, anudinam, and nitya in the manifestation unit, Rādhā-kuṇḍāṣṭaka, and Caitanya-caritāmṛta establish a strong textual bridge to eternal daily līlā.</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Bathing is ultimately interpreted through prema, sevā, shelter, and Rādhā-dāsya—not as a mechanical transaction detached from devotional orientation.</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Confidence vocabulary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tblHeader/>
        </w:trPr>
        <w:tc>
          <w:tcPr>
            <w:tcW w:type="dxa" w:w="18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Mark</w:t>
            </w:r>
          </w:p>
        </w:tc>
        <w:tc>
          <w:tcPr>
            <w:tcW w:type="dxa" w:w="75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Meaning</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A · Direct</w:t>
            </w:r>
          </w:p>
        </w:tc>
        <w:tc>
          <w:tcPr>
            <w:tcW w:type="dxa" w:w="7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Explicit in the named primary or Gosvāmī witness.</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B · Cross-text alignment</w:t>
            </w:r>
          </w:p>
        </w:tc>
        <w:tc>
          <w:tcPr>
            <w:tcW w:type="dxa" w:w="7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A later/parallel Gosvāmī text directly illuminates the manifestation unit.</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C · Project synthesis</w:t>
            </w:r>
          </w:p>
        </w:tc>
        <w:tc>
          <w:tcPr>
            <w:tcW w:type="dxa" w:w="7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A disciplined interpretation of several witnesses; must be labeled as synthesis.</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D · Deferred</w:t>
            </w:r>
          </w:p>
        </w:tc>
        <w:tc>
          <w:tcPr>
            <w:tcW w:type="dxa" w:w="7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5" w:lineRule="auto"/>
            </w:pPr>
            <w:r>
              <w:rPr>
                <w:rFonts w:ascii="Calibri" w:cs="Calibri" w:eastAsia="Calibri" w:hAnsi="Calibri"/>
                <w:b w:val="false"/>
                <w:bCs w:val="false"/>
                <w:i w:val="false"/>
                <w:iCs w:val="false"/>
                <w:caps w:val="false"/>
                <w:color w:val="28231F"/>
                <w:sz w:val="18"/>
                <w:szCs w:val="18"/>
              </w:rPr>
              <w:t xml:space="preserve">Attractive interpretation not yet demonstrated by a checked passage.</w:t>
            </w:r>
          </w:p>
        </w:tc>
      </w:tr>
    </w:tbl>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2. Method: how RS-02 reads the līlā</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RS-02 does not ask only, “What happened next?” It asks how later Gosvāmī texts receive and interpret the dramatic sequence already controlled in RS-01. The following rules govern the study.</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Keep the twenty-verse unit as the narrative spine and preserve its order.</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Use Raghunātha dāsa’s Rādhā-kuṇḍāṣṭaka as the principal early Gosvāmī theological lens.</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Use Rūpa’s Mathurā-māhātmya and Upadeśāmṛta for hierarchy, dearness, shelter, and service.</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Use Caitanya-caritāmṛta Madhya 18 to show how Mahāprabhu and Kṛṣṇadāsa Kavirāja read the physically obscured place through nitya-līlā theology.</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Use Govinda-līlāmṛta and Kṛṣṇa-bhāvanāmṛta to demonstrate the mature daily-līlā environment, without forcing the two works into one chronology.</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Mark interpretations such as māna, “union without erasure,” and “revelatory manifestation” as synthesis unless the exact term is present in the cited verse.</w:t>
      </w:r>
    </w:p>
    <w:p>
      <w:pPr>
        <w:pStyle w:val="ListParagraph"/>
        <w:numPr>
          <w:ilvl w:val="0"/>
          <w:numId w:val="3"/>
        </w:numPr>
        <w:spacing w:after="80" w:line="300" w:lineRule="auto"/>
      </w:pPr>
      <w:r>
        <w:rPr>
          <w:rFonts w:ascii="Calibri" w:cs="Calibri" w:eastAsia="Calibri" w:hAnsi="Calibri"/>
          <w:b w:val="false"/>
          <w:bCs w:val="false"/>
          <w:i w:val="false"/>
          <w:iCs w:val="false"/>
          <w:caps w:val="false"/>
          <w:color w:val="28231F"/>
          <w:sz w:val="21"/>
          <w:szCs w:val="21"/>
        </w:rPr>
        <w:t xml:space="preserve">Do not equate eternal jeweled architecture with present masonry without separate historical evidence.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eight theological movements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500"/>
        <w:gridCol w:w="2200"/>
        <w:gridCol w:w="3860"/>
      </w:tblGrid>
      <w:tr>
        <w:trPr>
          <w:cantSplit/>
          <w:tblHeader/>
        </w:trPr>
        <w:tc>
          <w:tcPr>
            <w:tcW w:type="dxa" w:w="18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7"/>
                <w:szCs w:val="17"/>
              </w:rPr>
              <w:t xml:space="preserve">Movement</w:t>
            </w:r>
          </w:p>
        </w:tc>
        <w:tc>
          <w:tcPr>
            <w:tcW w:type="dxa" w:w="15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7"/>
                <w:szCs w:val="17"/>
              </w:rPr>
              <w:t xml:space="preserve">Narrative locus</w:t>
            </w:r>
          </w:p>
        </w:tc>
        <w:tc>
          <w:tcPr>
            <w:tcW w:type="dxa" w:w="22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7"/>
                <w:szCs w:val="17"/>
              </w:rPr>
              <w:t xml:space="preserve">Gosvāmī control</w:t>
            </w:r>
          </w:p>
        </w:tc>
        <w:tc>
          <w:tcPr>
            <w:tcW w:type="dxa" w:w="38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7"/>
                <w:szCs w:val="17"/>
              </w:rPr>
              <w:t xml:space="preserve">Ruling</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1. Playful dharma challenge</w:t>
            </w:r>
          </w:p>
        </w:tc>
        <w:tc>
          <w:tcPr>
            <w:tcW w:type="dxa" w:w="1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Twenty verses 1–2</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RKA 1: narma-dharmokti-raṅgaiḥ</w:t>
            </w:r>
          </w:p>
        </w:tc>
        <w:tc>
          <w:tcPr>
            <w:tcW w:type="dxa" w:w="38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The charge is real within the dramatic play but does not establish actual impurity in Kṛṣṇa.</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2. Kṛṣṇa manifests His pond</w:t>
            </w:r>
          </w:p>
        </w:tc>
        <w:tc>
          <w:tcPr>
            <w:tcW w:type="dxa" w:w="1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3–6</w:t>
            </w:r>
          </w:p>
        </w:tc>
        <w:tc>
          <w:tcPr>
            <w:tcW w:type="dxa" w:w="2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Heel strike, Bhogavatī, tīrthas, bathing</w:t>
            </w:r>
          </w:p>
        </w:tc>
        <w:tc>
          <w:tcPr>
            <w:tcW w:type="dxa" w:w="38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Kṛṣṇa’s sovereignty over sacred geography becomes the setting for a greater revelation.</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3. Rādhā manifests Her pond</w:t>
            </w:r>
          </w:p>
        </w:tc>
        <w:tc>
          <w:tcPr>
            <w:tcW w:type="dxa" w:w="1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7–10</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RKA 1; sakhīs and own hands</w:t>
            </w:r>
          </w:p>
        </w:tc>
        <w:tc>
          <w:tcPr>
            <w:tcW w:type="dxa" w:w="38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Her independent response expresses playful self-determination and collective sakhī service.</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4. The tīrthas petition</w:t>
            </w:r>
          </w:p>
        </w:tc>
        <w:tc>
          <w:tcPr>
            <w:tcW w:type="dxa" w:w="1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11–16</w:t>
            </w:r>
          </w:p>
        </w:tc>
        <w:tc>
          <w:tcPr>
            <w:tcW w:type="dxa" w:w="2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RKA 3; Upadeśāmṛta 10</w:t>
            </w:r>
          </w:p>
        </w:tc>
        <w:tc>
          <w:tcPr>
            <w:tcW w:type="dxa" w:w="38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Rādhā’s grace is required; the tīrthas acknowledge Her supremacy.</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5. Waters join</w:t>
            </w:r>
          </w:p>
        </w:tc>
        <w:tc>
          <w:tcPr>
            <w:tcW w:type="dxa" w:w="1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17</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GL 7.6; twin-kuṇḍa saṅgama</w:t>
            </w:r>
          </w:p>
        </w:tc>
        <w:tc>
          <w:tcPr>
            <w:tcW w:type="dxa" w:w="38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Union occurs without erasing the distinct names and identities of the two ponds.</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6. Mutual declarations</w:t>
            </w:r>
          </w:p>
        </w:tc>
        <w:tc>
          <w:tcPr>
            <w:tcW w:type="dxa" w:w="1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18–19</w:t>
            </w:r>
          </w:p>
        </w:tc>
        <w:tc>
          <w:tcPr>
            <w:tcW w:type="dxa" w:w="2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MM 421; RKA 4; Upadeśāmṛta 10–11</w:t>
            </w:r>
          </w:p>
        </w:tc>
        <w:tc>
          <w:tcPr>
            <w:tcW w:type="dxa" w:w="38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The ponds participate in the reciprocal dearness of Rādhā and Kṛṣṇa.</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7. Eternal play</w:t>
            </w:r>
          </w:p>
        </w:tc>
        <w:tc>
          <w:tcPr>
            <w:tcW w:type="dxa" w:w="15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18–20</w:t>
            </w:r>
          </w:p>
        </w:tc>
        <w:tc>
          <w:tcPr>
            <w:tcW w:type="dxa" w:w="2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RKA 8; CC Madhya 18.9; GL and KBh</w:t>
            </w:r>
          </w:p>
        </w:tc>
        <w:tc>
          <w:tcPr>
            <w:tcW w:type="dxa" w:w="38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The manifested place is revealed as the daily water-play and rāsa environment.</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8. Devotional participation</w:t>
            </w:r>
          </w:p>
        </w:tc>
        <w:tc>
          <w:tcPr>
            <w:tcW w:type="dxa" w:w="15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RKA 2, 5; NOI 11</w:t>
            </w:r>
          </w:p>
        </w:tc>
        <w:tc>
          <w:tcPr>
            <w:tcW w:type="dxa" w:w="2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Bathing, service, residence, remembrance</w:t>
            </w:r>
          </w:p>
        </w:tc>
        <w:tc>
          <w:tcPr>
            <w:tcW w:type="dxa" w:w="38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The culmination is prema and Rādhā-dāsya, not mechanical merit.</w:t>
            </w:r>
          </w:p>
        </w:tc>
      </w:tr>
    </w:tbl>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3. Movement I — playful dharma speech, not actual impurity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1</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vṛṣabha-danuja-nāśān narma-dharmokti-raṅgair / nikhila-nija-sakhībhir yat sva-hastena pūrṇam | prakaṭitam api vṛndāraṇya-rājñā pramodais / tad ati-surabhi rādhā-kuṇḍam evāśrayo me ||1||</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After the destruction of the bull demon, the Queen of Vṛndāvana, together with all Her own companions, joyfully manifested the complete lake with their own hands amid the delights of playful speech concerning dharma.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phrase narma-dharmokti-raṅgaiḥ is the controlling Gosvāmī key for reading the opening accusation as playful līlā speech, not proof of actual impurity in Kṛṣṇa.</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What narma-dharmokti controls</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compound narma-dharmokti places the dispute inside playful, intimate speech about dharma. Rādhā’s accusation is not meaningless: within the drama it creates distance, provokes Kṛṣṇa’s response, and initiates the manifestation of the ponds. Yet Raghunātha’s wording prevents the reader from treating the charge as a doctrinal claim that Kṛṣṇa truly became contaminated by killing a bull-shaped demon.</w:t>
      </w:r>
    </w:p>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DRAFTING LANGUAGE  </w:t>
      </w:r>
      <w:r>
        <w:rPr>
          <w:rFonts w:ascii="Calibri" w:cs="Calibri" w:eastAsia="Calibri" w:hAnsi="Calibri"/>
          <w:b w:val="false"/>
          <w:bCs w:val="false"/>
          <w:i w:val="false"/>
          <w:iCs w:val="false"/>
          <w:caps w:val="false"/>
          <w:color w:val="28231F"/>
          <w:sz w:val="20"/>
          <w:szCs w:val="20"/>
        </w:rPr>
        <w:t xml:space="preserve">“Rādhā playfully charged Kṛṣṇa according to the language of dharma…” is safer than “Kṛṣṇa had incurred sin and required purification.”</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Māna and playful contrariety</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Rādhā’s refusal and insistence on an independently manifested pond strongly resemble loving contrariety and māna. This is a useful rasa interpretation, but the checked twenty verses do not themselves use the technical word māna. The eventual story may evoke affectionate contrariety while avoiding an unsupported claim that a specific formal nāyikā-state is explicitly named in the source.</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4. Movements II–III — sovereignty and independent manifestation</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Kṛṣṇa’s heel-struck pond</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Kṛṣṇa does not undertake an ordinary pilgrimage. He declares that He will bring all holy places to the spot, strikes the earth with His heel, draws water from subterranean Bhogavatī, commands the tīrthas to appear, and bathes. The dramatic function is sovereignty: sacred geography responds to Him.</w:t>
      </w:r>
    </w:p>
    <w:p>
      <w:pPr>
        <w:keepNext w:val="false"/>
        <w:keepLines/>
        <w:pBdr>
          <w:top w:val="single" w:color="B58A3A" w:sz="8"/>
          <w:bottom w:val="single" w:color="D6C7B6" w:sz="3"/>
          <w:left w:val="single" w:color="B58A3A" w:sz="8"/>
          <w:right w:val="single" w:color="D6C7B6" w:sz="3"/>
        </w:pBdr>
        <w:shd w:fill="E8EEF5"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IMPORTANT BALANCE  </w:t>
      </w:r>
      <w:r>
        <w:rPr>
          <w:rFonts w:ascii="Calibri" w:cs="Calibri" w:eastAsia="Calibri" w:hAnsi="Calibri"/>
          <w:b w:val="false"/>
          <w:bCs w:val="false"/>
          <w:i w:val="false"/>
          <w:iCs w:val="false"/>
          <w:caps w:val="false"/>
          <w:color w:val="28231F"/>
          <w:sz w:val="20"/>
          <w:szCs w:val="20"/>
        </w:rPr>
        <w:t xml:space="preserve">The narrative does not diminish Kṛṣṇa in order to exalt Rādhā. It first establishes His unrestricted mastery; only then does it reveal the distinct and surprising reach of Rādhā’s grace.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Rādhā and the sakhīs manifest their own pond</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Rādhā’s answer is not passive. She chooses the western hoofprint depression, directs Her companions, and creates a lake with them by hand. Rādhā-kuṇḍāṣṭaka 1 independently preserves the same theological emphasis: the Queen of Vṛndāvana and all Her own sakhīs manifest the kuṇḍa with their own hands and in joy.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4560"/>
      </w:tblGrid>
      <w:tr>
        <w:trPr>
          <w:cantSplit/>
          <w:tblHeader/>
        </w:trPr>
        <w:tc>
          <w:tcPr>
            <w:tcW w:type="dxa" w:w="1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Element</w:t>
            </w:r>
          </w:p>
        </w:tc>
        <w:tc>
          <w:tcPr>
            <w:tcW w:type="dxa" w:w="2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Direct wording</w:t>
            </w:r>
          </w:p>
        </w:tc>
        <w:tc>
          <w:tcPr>
            <w:tcW w:type="dxa" w:w="45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Theological implication</w:t>
            </w:r>
          </w:p>
        </w:tc>
      </w:tr>
      <w:tr>
        <w:trPr>
          <w:cantSplit/>
        </w:trPr>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Collective agency</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Rādhā together with all Her own sakhīs</w:t>
            </w:r>
          </w:p>
        </w:tc>
        <w:tc>
          <w:tcPr>
            <w:tcW w:type="dxa" w:w="4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place is manifested through a community of intimate service.</w:t>
            </w:r>
          </w:p>
        </w:tc>
      </w:tr>
      <w:tr>
        <w:trPr>
          <w:cantSplit/>
        </w:trPr>
        <w:tc>
          <w:tcPr>
            <w:tcW w:type="dxa" w:w="1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Own hands</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sva-hastena; twenty-verse account also says hands</w:t>
            </w:r>
          </w:p>
        </w:tc>
        <w:tc>
          <w:tcPr>
            <w:tcW w:type="dxa" w:w="4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Embodied sevā is central; “bangles” remains a later, separately sourced detail.</w:t>
            </w:r>
          </w:p>
        </w:tc>
      </w:tr>
      <w:tr>
        <w:trPr>
          <w:cantSplit/>
        </w:trPr>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Independent water plan</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Rādhā refuses Kṛṣṇa-kuṇḍa water and proposes Mānasa-gaṅgā</w:t>
            </w:r>
          </w:p>
        </w:tc>
        <w:tc>
          <w:tcPr>
            <w:tcW w:type="dxa" w:w="45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Playful self-determination intensifies the līlā.</w:t>
            </w:r>
          </w:p>
        </w:tc>
      </w:tr>
      <w:tr>
        <w:trPr>
          <w:cantSplit/>
        </w:trPr>
        <w:tc>
          <w:tcPr>
            <w:tcW w:type="dxa" w:w="1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Joyful manifestation</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pramodaiḥ</w:t>
            </w:r>
          </w:p>
        </w:tc>
        <w:tc>
          <w:tcPr>
            <w:tcW w:type="dxa" w:w="45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episode is not a grim expiation ritual.</w:t>
            </w:r>
          </w:p>
        </w:tc>
      </w:tr>
    </w:tbl>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5. The tīrthas petition — Rādhā grants grace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Rādhā-kuṇḍāṣṭaka 3</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agha-ripur api yatnād atra devyāḥ prasāda- / prasara-kṛta-kaṭākṣa-prāpti-kāmaḥ prakāmam | anusarati yad uccaiḥ snāna-sevānubandhais / tad ati-surabhi rādhā-kuṇḍam evāśrayo me ||3||</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Even Kṛṣṇa, the enemy of Agha, eagerly follows this lake through bonds of bathing and service, desiring to obtain the gracious sidelong glance flowing from the Goddess. May that exquisitely fragrant Rādhā-kuṇḍa be my shelter.</w:t>
      </w:r>
    </w:p>
    <w:p>
      <w:pPr>
        <w:keepNext w:val="false"/>
        <w:keepLines/>
        <w:pBdr>
          <w:top w:val="single" w:color="B58A3A" w:sz="8"/>
          <w:bottom w:val="single" w:color="D6C7B6" w:sz="3"/>
          <w:left w:val="single" w:color="B58A3A" w:sz="8"/>
          <w:right w:val="single" w:color="D6C7B6" w:sz="3"/>
        </w:pBdr>
        <w:shd w:fill="F7F1E7"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RESEARCH USE  </w:t>
      </w:r>
      <w:r>
        <w:rPr>
          <w:rFonts w:ascii="Calibri" w:cs="Calibri" w:eastAsia="Calibri" w:hAnsi="Calibri"/>
          <w:b w:val="false"/>
          <w:bCs w:val="false"/>
          <w:i w:val="false"/>
          <w:iCs w:val="false"/>
          <w:caps w:val="false"/>
          <w:color w:val="28231F"/>
          <w:sz w:val="20"/>
          <w:szCs w:val="20"/>
        </w:rPr>
        <w:t xml:space="preserve">This supplies a strong cross-text parallel to the tīrthas’ petition: access to Rādhā-kuṇḍa is governed by Rādhā’s prasāda, Her grace.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petition is the theological hinge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tīrthas already obey Kṛṣṇa and reside in His pond. Nevertheless, their deepest desire is not fulfilled until they approach Rādhā, praise Her, and receive permission to enter Her lake. Their movement is therefore not from profanity to sanctity, but from commanded presence to grace-filled participation.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160"/>
        <w:gridCol w:w="1900"/>
      </w:tblGrid>
      <w:tr>
        <w:trPr>
          <w:cantSplit/>
          <w:tblHeader/>
        </w:trPr>
        <w:tc>
          <w:tcPr>
            <w:tcW w:type="dxa" w:w="23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Narrative action</w:t>
            </w:r>
          </w:p>
        </w:tc>
        <w:tc>
          <w:tcPr>
            <w:tcW w:type="dxa" w:w="51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Meaning controlled by the texts</w:t>
            </w:r>
          </w:p>
        </w:tc>
        <w:tc>
          <w:tcPr>
            <w:tcW w:type="dxa" w:w="1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Status</w:t>
            </w:r>
          </w:p>
        </w:tc>
      </w:tr>
      <w:tr>
        <w:trPr>
          <w:cantSplit/>
        </w:trPr>
        <w:tc>
          <w:tcPr>
            <w:tcW w:type="dxa" w:w="2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tīrthas bow and weep</w:t>
            </w:r>
          </w:p>
        </w:tc>
        <w:tc>
          <w:tcPr>
            <w:tcW w:type="dxa" w:w="51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They approach as petitioners rather than automatic possessors of access.</w:t>
            </w:r>
          </w:p>
        </w:tc>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A · Direct</w:t>
            </w:r>
          </w:p>
        </w:tc>
      </w:tr>
      <w:tr>
        <w:trPr>
          <w:cantSplit/>
        </w:trPr>
        <w:tc>
          <w:tcPr>
            <w:tcW w:type="dxa" w:w="2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They praise Rādhā beyond Brahmā, Śiva, and Lakṣmī</w:t>
            </w:r>
          </w:p>
        </w:tc>
        <w:tc>
          <w:tcPr>
            <w:tcW w:type="dxa" w:w="51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unit explicitly reveals Her extraordinary majesty.</w:t>
            </w:r>
          </w:p>
        </w:tc>
        <w:tc>
          <w:tcPr>
            <w:tcW w:type="dxa" w:w="1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A · Direct</w:t>
            </w:r>
          </w:p>
        </w:tc>
      </w:tr>
      <w:tr>
        <w:trPr>
          <w:cantSplit/>
        </w:trPr>
        <w:tc>
          <w:tcPr>
            <w:tcW w:type="dxa" w:w="2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They ask to enter Her lake</w:t>
            </w:r>
          </w:p>
        </w:tc>
        <w:tc>
          <w:tcPr>
            <w:tcW w:type="dxa" w:w="51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Admission depends on Her consent.</w:t>
            </w:r>
          </w:p>
        </w:tc>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A · Direct</w:t>
            </w:r>
          </w:p>
        </w:tc>
      </w:tr>
      <w:tr>
        <w:trPr>
          <w:cantSplit/>
        </w:trPr>
        <w:tc>
          <w:tcPr>
            <w:tcW w:type="dxa" w:w="2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Even Kṛṣṇa seeks Her grace-glance through bathing and service</w:t>
            </w:r>
          </w:p>
        </w:tc>
        <w:tc>
          <w:tcPr>
            <w:tcW w:type="dxa" w:w="51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RKA 3 supplies a close Gosvāmī theological parallel.</w:t>
            </w:r>
          </w:p>
        </w:tc>
        <w:tc>
          <w:tcPr>
            <w:tcW w:type="dxa" w:w="1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B · Cross-text</w:t>
            </w:r>
          </w:p>
        </w:tc>
      </w:tr>
      <w:tr>
        <w:trPr>
          <w:cantSplit/>
        </w:trPr>
        <w:tc>
          <w:tcPr>
            <w:tcW w:type="dxa" w:w="2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episode reveals sovereignty through grace</w:t>
            </w:r>
          </w:p>
        </w:tc>
        <w:tc>
          <w:tcPr>
            <w:tcW w:type="dxa" w:w="51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A synthesis of petition, consent, and RKA 3.</w:t>
            </w:r>
          </w:p>
        </w:tc>
        <w:tc>
          <w:tcPr>
            <w:tcW w:type="dxa" w:w="1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C · Synthesis</w:t>
            </w:r>
          </w:p>
        </w:tc>
      </w:tr>
    </w:tbl>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WRITING CONSEQUENCE  </w:t>
      </w:r>
      <w:r>
        <w:rPr>
          <w:rFonts w:ascii="Calibri" w:cs="Calibri" w:eastAsia="Calibri" w:hAnsi="Calibri"/>
          <w:b w:val="false"/>
          <w:bCs w:val="false"/>
          <w:i w:val="false"/>
          <w:iCs w:val="false"/>
          <w:caps w:val="false"/>
          <w:color w:val="28231F"/>
          <w:sz w:val="20"/>
          <w:szCs w:val="20"/>
        </w:rPr>
        <w:t xml:space="preserve">Rādhā’s supremacy should be shown through the līlā’s own grammar—petition, consent, grace, and Kṛṣṇa’s delight in serving Her—not through abstract superlatives alone.</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6. Movements V–VI — joining, distinction, and reciprocal dearness</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waters join</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After Rādhā consents, the tīrthas break the separating bank and fill Her lake. Later Govinda-līlāmṛta 7.6 describes Rādhā-kuṇḍa as joined with the beloved companion pond, while Vraja-vilāsa-stava 52 praises the middle region where the banks of the two beloved ponds meet.</w:t>
      </w:r>
    </w:p>
    <w:p>
      <w:pPr>
        <w:keepNext w:val="false"/>
        <w:keepLines/>
        <w:pBdr>
          <w:top w:val="single" w:color="B58A3A" w:sz="8"/>
          <w:bottom w:val="single" w:color="D6C7B6" w:sz="3"/>
          <w:left w:val="single" w:color="B58A3A" w:sz="8"/>
          <w:right w:val="single" w:color="D6C7B6" w:sz="3"/>
        </w:pBdr>
        <w:shd w:fill="E8EEF5"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CONTROLLED SYNTHESIS  </w:t>
      </w:r>
      <w:r>
        <w:rPr>
          <w:rFonts w:ascii="Calibri" w:cs="Calibri" w:eastAsia="Calibri" w:hAnsi="Calibri"/>
          <w:b w:val="false"/>
          <w:bCs w:val="false"/>
          <w:i w:val="false"/>
          <w:iCs w:val="false"/>
          <w:caps w:val="false"/>
          <w:color w:val="28231F"/>
          <w:sz w:val="20"/>
          <w:szCs w:val="20"/>
        </w:rPr>
        <w:t xml:space="preserve">The phrase “union without erasure” is a project formulation: the waters connect, yet the sources continue to name and address the two ponds distinctly. It is useful so long as it is not presented as a verbatim doctrinal formula.</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equivalence of dearness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Mathurā-māhātmya 421, decisive half-verse</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yathā rādhā priyā viṣṇos / tasyāḥ kuṇḍaṁ priyaṁ tathā</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As Rādhā is dear to Viṣṇu/Kṛṣṇa, so Her kuṇḍa is dear to Him.</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This is the concise formula received repeatedly in Rūpa, Upadeśāmṛta, Caitanya-caritāmṛta, and later Gauḍīya theology.</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4</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vraja-bhuvana-sudhāṁśoḥ prema-bhūmir nikāmaṁ / vraja-madhura-kiśorī-mauli-ratna-priyeva | paricitam api nāmnā yā ca tenaiva tasyās / tad ati-surabhi rādhā-kuṇḍam evāśrayo me ||4||</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It is supremely the field of love of the moon of Vraja; it is as dear to Him as the crown jewel among Vraja’s sweet young heroines, and it is known by Her very name.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Rādhā-kuṇḍa’s identity is relational: its name, dearness, and theological status correspond to Rādhā Herself.</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Mutuality must remain visible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18 is the climax of Rādhā-kuṇḍa’s glory: Kṛṣṇa declares it more glorious than His own and as dear as Rādhā, and promises eternal bathing and water-play there. Verse 19 immediately supplies reciprocity: Rādhā vows to bathe in the pond of Ariṣṭa’s subduer and declares its devoted bathers and residents especially dear. The narrative does not end in competitive humiliation; it ends in reciprocal honor and shared līlā.</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7. Nitya-līlā — manifestation opens into eternal daily play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8</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anudinam ati-raṅgaiḥ prema-mattāli-saṅghair / vara-sarasija-gandhair hāri-vāri-prapūrṇe | viharata iha yasmin dam-patī tau pramattau / tad ati-surabhi rādhā-kuṇḍam evāśrayo me ||8||</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Every day, in its captivating waters filled with the fragrance of excellent lotuses, the intoxicated Divine Couple sport amid assemblies of companions maddened by love and absorbed in ever-fresh play.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word anudinam, “every day,” makes the nitya-līlā bridge explicit.</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A three-text verbal bridge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00"/>
        <w:gridCol w:w="4860"/>
      </w:tblGrid>
      <w:tr>
        <w:trPr>
          <w:cantSplit/>
          <w:tblHeader/>
        </w:trPr>
        <w:tc>
          <w:tcPr>
            <w:tcW w:type="dxa" w:w="2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Witness</w:t>
            </w:r>
          </w:p>
        </w:tc>
        <w:tc>
          <w:tcPr>
            <w:tcW w:type="dxa" w:w="16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Key word</w:t>
            </w:r>
          </w:p>
        </w:tc>
        <w:tc>
          <w:tcPr>
            <w:tcW w:type="dxa" w:w="48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What it states</w:t>
            </w:r>
          </w:p>
        </w:tc>
      </w:tr>
      <w:tr>
        <w:trPr>
          <w:cantSplit/>
        </w:trPr>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Twenty-verse account, v.18</w:t>
            </w:r>
          </w:p>
        </w:tc>
        <w:tc>
          <w:tcPr>
            <w:tcW w:type="dxa" w:w="16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nityam</w:t>
            </w:r>
          </w:p>
        </w:tc>
        <w:tc>
          <w:tcPr>
            <w:tcW w:type="dxa" w:w="48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Kṛṣṇa promises eternal/constant bathing and water-play in Rādhā-kuṇḍa.</w:t>
            </w:r>
          </w:p>
        </w:tc>
      </w:tr>
      <w:tr>
        <w:trPr>
          <w:cantSplit/>
        </w:trPr>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Rādhā-kuṇḍāṣṭaka 8</w:t>
            </w:r>
          </w:p>
        </w:tc>
        <w:tc>
          <w:tcPr>
            <w:tcW w:type="dxa" w:w="16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anudinam</w:t>
            </w:r>
          </w:p>
        </w:tc>
        <w:tc>
          <w:tcPr>
            <w:tcW w:type="dxa" w:w="48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Divine Couple sport there every day amid love-intoxicated companions.</w:t>
            </w:r>
          </w:p>
        </w:tc>
      </w:tr>
      <w:tr>
        <w:trPr>
          <w:cantSplit/>
        </w:trPr>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Caitanya-caritāmṛta Madhya 18.9</w:t>
            </w:r>
          </w:p>
        </w:tc>
        <w:tc>
          <w:tcPr>
            <w:tcW w:type="dxa" w:w="16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nitya</w:t>
            </w:r>
          </w:p>
        </w:tc>
        <w:tc>
          <w:tcPr>
            <w:tcW w:type="dxa" w:w="48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Kṛṣṇa performs daily water-play with Rādhā and rāsa on the bank.</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Mature daily-līlā witnesses</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Govinda-līlāmṛta turns the theological promise into a fully inhabited daily service world: Kṛṣṇa arrives eager to meet Rādhā (7.1); the paired ponds are joined (7.6); Rādhā reaches the platform of Her own lake (15.37); and the party enters water-play (15.43–54). Kṛṣṇa-bhāvanāmṛta 14.9–17 and 14.48–52 independently locates water-play and post-play service in the twin-kuṇḍa complex.</w:t>
      </w:r>
    </w:p>
    <w:p>
      <w:pPr>
        <w:keepNext w:val="false"/>
        <w:keepLines/>
        <w:pBdr>
          <w:top w:val="single" w:color="B58A3A" w:sz="8"/>
          <w:bottom w:val="single" w:color="D6C7B6" w:sz="3"/>
          <w:left w:val="single" w:color="B58A3A" w:sz="8"/>
          <w:right w:val="single" w:color="D6C7B6" w:sz="3"/>
        </w:pBdr>
        <w:shd w:fill="F4E8EA"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METAPHYSICAL WORDING  </w:t>
      </w:r>
      <w:r>
        <w:rPr>
          <w:rFonts w:ascii="Calibri" w:cs="Calibri" w:eastAsia="Calibri" w:hAnsi="Calibri"/>
          <w:b w:val="false"/>
          <w:bCs w:val="false"/>
          <w:i w:val="false"/>
          <w:iCs w:val="false"/>
          <w:caps w:val="false"/>
          <w:color w:val="28231F"/>
          <w:sz w:val="20"/>
          <w:szCs w:val="20"/>
        </w:rPr>
        <w:t xml:space="preserve">The safest formulation is that the manifestation narrative reveals or makes accessible in Vraja the kuṇḍa that later Gosvāmī texts describe as an eternal daily-līlā place. A fully developed claim about “eternal descent into historical geography” is theological synthesis and should be labeled as such.</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Why the story ends with rāsa</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Verse 20 prevents the episode from ending as a tīrtha-establishment legend. Its final act is rāsa. Rūpa’s Upadeśāmṛta 9 likewise ranks sacred places by increasingly intimate līlā and places Rādhā-kuṇḍa at the summit because it is flooded with Kṛṣṇa’s nectar of prema. Caitanya-caritāmṛta Madhya 18.9 joins daily water-play and bank-side rāsa in a single sentence.</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8. Devotional participation — bath, service, shelter, and Rādhā-dāsya</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2</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vraja-bhuvi mura-śatroḥ preyasīnāṁ nikāmair / asulabham api tūrṇaṁ prema-kalpa-drumaṁ tam | janayati hṛdi bhūmau snātur uccair priyaṁ yat / tad ati-surabhi rādhā-kuṇḍam evāśrayo me ||2||</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It swiftly causes the cherished wish-fulfilling tree of prema to arise in the heart-land of one who bathes there—a treasure difficult to obtain even for the beloved companions of Kṛṣṇa in Vraja.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Bathing theology is expressed as the arising of prema, not merely the acquisition of external religious merit.</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5</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api jana iha kaścid yasya sevā-prasādaiḥ / praṇaya-sura-latā syāt tasya goṣṭhendra-sūnoḥ | sapadi kila mad-īśā-dāsya-puṣpa-praśasyā / tad ati-surabhi rādhā-kuṇḍam evāśrayo me ||5||</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For anyone who receives the grace of serving it, the divine creeper of affection for the son of the lord of the cowherds arises and is quickly adorned with the celebrated blossom of service to my Mistress.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devotional goal is not anonymous sanctity: the lake’s grace flowers specifically as Rādhā-dāsya.</w:t>
            </w:r>
          </w:p>
        </w:tc>
      </w:tr>
    </w:tbl>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 progression of participation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300"/>
        <w:gridCol w:w="4260"/>
      </w:tblGrid>
      <w:tr>
        <w:trPr>
          <w:cantSplit/>
          <w:tblHeader/>
        </w:trPr>
        <w:tc>
          <w:tcPr>
            <w:tcW w:type="dxa" w:w="18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Mode</w:t>
            </w:r>
          </w:p>
        </w:tc>
        <w:tc>
          <w:tcPr>
            <w:tcW w:type="dxa" w:w="33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Primary expression</w:t>
            </w:r>
          </w:p>
        </w:tc>
        <w:tc>
          <w:tcPr>
            <w:tcW w:type="dxa" w:w="42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Theological center</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Bathing</w:t>
            </w:r>
          </w:p>
        </w:tc>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RKA 2; Upadeśāmṛta 11; GL 7.102</w:t>
            </w:r>
          </w:p>
        </w:tc>
        <w:tc>
          <w:tcPr>
            <w:tcW w:type="dxa" w:w="42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awakening or manifestation of prema.</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Service</w:t>
            </w:r>
          </w:p>
        </w:tc>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RKA 3 and 5; Upadeśāmṛta 9</w:t>
            </w:r>
          </w:p>
        </w:tc>
        <w:tc>
          <w:tcPr>
            <w:tcW w:type="dxa" w:w="42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Service to the lake is service within Rādhā’s relational domain.</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Shelter</w:t>
            </w:r>
          </w:p>
        </w:tc>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Upadeśāmṛta 10; repeated āśrayo me refrain</w:t>
            </w:r>
          </w:p>
        </w:tc>
        <w:tc>
          <w:tcPr>
            <w:tcW w:type="dxa" w:w="42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Taking refuge, not merely visiting.</w:t>
            </w:r>
          </w:p>
        </w:tc>
      </w:tr>
      <w:tr>
        <w:trPr>
          <w:cantSplit/>
        </w:trPr>
        <w:tc>
          <w:tcPr>
            <w:tcW w:type="dxa" w:w="18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Residence</w:t>
            </w:r>
          </w:p>
        </w:tc>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Vilāpa-kusumāñjali 97</w:t>
            </w:r>
          </w:p>
        </w:tc>
        <w:tc>
          <w:tcPr>
            <w:tcW w:type="dxa" w:w="42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Residence is desired because the kuṇḍa is the eternal abode of Rādhā with Her beloved.</w:t>
            </w:r>
          </w:p>
        </w:tc>
      </w:tr>
      <w:tr>
        <w:trPr>
          <w:cantSplit/>
        </w:trPr>
        <w:tc>
          <w:tcPr>
            <w:tcW w:type="dxa" w:w="18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Rādhā-dāsya</w:t>
            </w:r>
          </w:p>
        </w:tc>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RKA 5</w:t>
            </w:r>
          </w:p>
        </w:tc>
        <w:tc>
          <w:tcPr>
            <w:tcW w:type="dxa" w:w="42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30" w:lineRule="auto"/>
            </w:pPr>
            <w:r>
              <w:rPr>
                <w:rFonts w:ascii="Calibri" w:cs="Calibri" w:eastAsia="Calibri" w:hAnsi="Calibri"/>
                <w:b w:val="false"/>
                <w:bCs w:val="false"/>
                <w:i w:val="false"/>
                <w:iCs w:val="false"/>
                <w:caps w:val="false"/>
                <w:color w:val="28231F"/>
                <w:sz w:val="17"/>
                <w:szCs w:val="17"/>
              </w:rPr>
              <w:t xml:space="preserve">The flowering goal of the lake’s grace.</w:t>
            </w:r>
          </w:p>
        </w:tc>
      </w:tr>
    </w:tbl>
    <w:p>
      <w:pPr>
        <w:keepNext w:val="false"/>
        <w:keepLines/>
        <w:pBdr>
          <w:top w:val="single" w:color="B58A3A" w:sz="8"/>
          <w:bottom w:val="single" w:color="D6C7B6" w:sz="3"/>
          <w:left w:val="single" w:color="B58A3A" w:sz="8"/>
          <w:right w:val="single" w:color="D6C7B6" w:sz="3"/>
        </w:pBdr>
        <w:shd w:fill="F4E8EA"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PASTORAL CAUTION  </w:t>
      </w:r>
      <w:r>
        <w:rPr>
          <w:rFonts w:ascii="Calibri" w:cs="Calibri" w:eastAsia="Calibri" w:hAnsi="Calibri"/>
          <w:b w:val="false"/>
          <w:bCs w:val="false"/>
          <w:i w:val="false"/>
          <w:iCs w:val="false"/>
          <w:caps w:val="false"/>
          <w:color w:val="28231F"/>
          <w:sz w:val="20"/>
          <w:szCs w:val="20"/>
        </w:rPr>
        <w:t xml:space="preserve">The strong promises attached to bathing should be quoted faithfully, but the guide should not market them as an automatic rite detached from humility, service, shelter, and the devotional hierarchy surrounding the verses.</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9. Śrī Caitanya’s reception — the hermeneutic model</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Caitanya-caritāmṛta Madhya 18.3–15 belongs to the Caitanya-līlā research stream, but its theological function is indispensable here. When the physical tīrtha is lupta and visible only as a little water in two paddy fields, Mahāprabhu does not judge it by outward appearance. He bathes, praises it through the language of dearness and nitya-līlā, dances while remembering the bank-side pastimes, and takes its earth as tilaka.</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Caitanya-caritāmṛta Madhya 18.9</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yei kuṇḍe nitya kṛṣṇa rādhikāra saṅge / jale jala-keli kare, tīre rāsa-raṅge</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In this kuṇḍa Kṛṣṇa eternally/daily performs water-play with Rādhikā, and on its bank He delights in rāsa.</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Mahāprabhu’s praise reads the obscured physical site through its eternal līlā identity.</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Caitanya-caritāmṛta Madhya 18.11</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kuṇḍera ‘mādhurī’ — yena rādhāra ‘madhurimā’ / kuṇḍera ‘mahimā’ — yena rādhāra ‘mahimā’</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The sweetness of the kuṇḍa is like Rādhā’s sweetness; the greatness of the kuṇḍa is like Rādhā’s greatness.</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place is understood through correspondence with Rādhā—not simply through age, size, or visible architecture.</w:t>
            </w:r>
          </w:p>
        </w:tc>
      </w:tr>
    </w:tbl>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HERMENEUTIC RULING  </w:t>
      </w:r>
      <w:r>
        <w:rPr>
          <w:rFonts w:ascii="Calibri" w:cs="Calibri" w:eastAsia="Calibri" w:hAnsi="Calibri"/>
          <w:b w:val="false"/>
          <w:bCs w:val="false"/>
          <w:i w:val="false"/>
          <w:iCs w:val="false"/>
          <w:caps w:val="false"/>
          <w:color w:val="28231F"/>
          <w:sz w:val="20"/>
          <w:szCs w:val="20"/>
        </w:rPr>
        <w:t xml:space="preserve">Mahāprabhu models how the eventual guide should see Rādhā-kuṇḍa: outward landscape is honored, but its deepest identity is disclosed by remembered and revealed līlā.</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10. Verse-to-source theological cross-reference</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This matrix is the working control sheet for the eventual literary narrative. “Cross-text” means the later Gosvāmī witness interprets or strongly parallels the manifestation verse; it does not imply direct quotation or simple literary dependence.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700"/>
        <w:gridCol w:w="2100"/>
        <w:gridCol w:w="3660"/>
      </w:tblGrid>
      <w:tr>
        <w:trPr>
          <w:cantSplit/>
          <w:tblHeader/>
        </w:trPr>
        <w:tc>
          <w:tcPr>
            <w:tcW w:type="dxa" w:w="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6"/>
                <w:szCs w:val="16"/>
              </w:rPr>
              <w:t xml:space="preserve">Verse(s)</w:t>
            </w:r>
          </w:p>
        </w:tc>
        <w:tc>
          <w:tcPr>
            <w:tcW w:type="dxa" w:w="27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6"/>
                <w:szCs w:val="16"/>
              </w:rPr>
              <w:t xml:space="preserve">Manifestation movement</w:t>
            </w:r>
          </w:p>
        </w:tc>
        <w:tc>
          <w:tcPr>
            <w:tcW w:type="dxa" w:w="21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6"/>
                <w:szCs w:val="16"/>
              </w:rPr>
              <w:t xml:space="preserve">Cross-reference</w:t>
            </w:r>
          </w:p>
        </w:tc>
        <w:tc>
          <w:tcPr>
            <w:tcW w:type="dxa" w:w="36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6"/>
                <w:szCs w:val="16"/>
              </w:rPr>
              <w:t xml:space="preserve">Drafting ruling</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Rādhā forbids contact and invokes purification</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RKA 1</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Direct cross-text key: narma-dharmokti; read as playful dharma speech.</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2</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Kṛṣṇa answers and strikes the earth with His heel</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Compact Ādi-varāha; RKA 1 context</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Divine response within līlā; no ordinary pilgrimage is necessary.</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3</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Bhogavatī water and tīrthas arrive</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Twenty-verse unit</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Kṛṣṇa’s command establishes His sovereignty over the tīrthas.</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4–5</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Tīrthas identify themselves</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Twenty-verse unit</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Public verification within the drama; do not import into compact recension.</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6</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Kṛṣṇa bathes and boasts</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Compact stream; RKA 3</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His triumph sets up Rādhā’s independent creative response.</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7</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Western hoofprint depression selected</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Twenty-verse unit</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Narrative geography of the full account.</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8</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Sakhīs dig by hand in two ghaṭikās</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RKA 1</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Raghunātha confirms own-hand, collective, joyful manifestation.</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9</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Rādhā refuses Kṛṣṇa-kuṇḍa water</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RKA 1 narma frame</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Playful contrariety/self-determination; “māna” is plausible synthesis, not the verse’s explicit word.</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10</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Mānasa-gaṅgā plan</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Twenty-verse unit</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Shows resolve to establish an independently honored lake.</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11</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Tīrthas approach and bow</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RKA 3</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Grace structure: even Kṛṣṇa seeks Devī’s prasāda-glance through bathing and service.</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12–14</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Tīrthas praise Rādhā and state desire</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Upadeśāmṛta 10; RKA 3–5</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Rādhā’s supremacy is expressed through devotion and grace, not abstract rank alone.</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15–16</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Rādhā grants permission</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RKA 3</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Entry depends upon Her consent; grace is the hinge of the narrative.</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17</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Bank breaks and waters fill Rādhā-kuṇḍa</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GL 7.6; VVS 52</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Later texts preserve a joined twin-kuṇḍa meeting-region; exact physical localization remains separate.</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18</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Kṛṣṇa declares Rādhā-kuṇḍa superior and eternally serves it</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MM 421; RKA 3–4; NOI 9–11; GL 7.102</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Central theological climax: dearness, supremacy, eternal bathing and play.</w:t>
            </w:r>
          </w:p>
        </w:tc>
      </w:tr>
      <w:tr>
        <w:trPr>
          <w:cantSplit/>
        </w:trPr>
        <w:tc>
          <w:tcPr>
            <w:tcW w:type="dxa" w:w="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19</w:t>
            </w:r>
          </w:p>
        </w:tc>
        <w:tc>
          <w:tcPr>
            <w:tcW w:type="dxa" w:w="2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Rādhā reciprocates toward Ariṣṭa-mardana-saras</w:t>
            </w:r>
          </w:p>
        </w:tc>
        <w:tc>
          <w:tcPr>
            <w:tcW w:type="dxa" w:w="21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RKA 2, 5; Vilāpa 97</w:t>
            </w:r>
          </w:p>
        </w:tc>
        <w:tc>
          <w:tcPr>
            <w:tcW w:type="dxa" w:w="36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Mutuality prevents a one-sided triumph reading; residence and bathing become relational devotion.</w:t>
            </w:r>
          </w:p>
        </w:tc>
      </w:tr>
      <w:tr>
        <w:trPr>
          <w:cantSplit/>
        </w:trPr>
        <w:tc>
          <w:tcPr>
            <w:tcW w:type="dxa" w:w="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20</w:t>
            </w:r>
          </w:p>
        </w:tc>
        <w:tc>
          <w:tcPr>
            <w:tcW w:type="dxa" w:w="2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Rāsa that night</w:t>
            </w:r>
          </w:p>
        </w:tc>
        <w:tc>
          <w:tcPr>
            <w:tcW w:type="dxa" w:w="21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NOI 9; RKA 8; CC Madhya 18.9</w:t>
            </w:r>
          </w:p>
        </w:tc>
        <w:tc>
          <w:tcPr>
            <w:tcW w:type="dxa" w:w="36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10" w:lineRule="auto"/>
            </w:pPr>
            <w:r>
              <w:rPr>
                <w:rFonts w:ascii="Calibri" w:cs="Calibri" w:eastAsia="Calibri" w:hAnsi="Calibri"/>
                <w:b w:val="false"/>
                <w:bCs w:val="false"/>
                <w:i w:val="false"/>
                <w:iCs w:val="false"/>
                <w:caps w:val="false"/>
                <w:color w:val="28231F"/>
                <w:sz w:val="15"/>
                <w:szCs w:val="15"/>
              </w:rPr>
              <w:t xml:space="preserve">The story ends in rasa, revealing the pond as intimate līlā-sthalī rather than merely tīrtha.</w:t>
            </w:r>
          </w:p>
        </w:tc>
      </w:tr>
    </w:tbl>
    <w:p>
      <w:pPr>
        <w:keepNext w:val="false"/>
        <w:keepLines/>
        <w:pageBreakBefore/>
        <w:spacing w:after="0" w:before="0" w:line="1" w:lineRule="auto"/>
      </w:pPr>
      <w:r>
        <w:rPr>
          <w:rFonts w:ascii="Calibri" w:cs="Calibri" w:eastAsia="Calibri" w:hAnsi="Calibri"/>
          <w:b w:val="false"/>
          <w:bCs w:val="false"/>
          <w:i w:val="false"/>
          <w:iCs w:val="false"/>
          <w:caps w:val="false"/>
          <w:color w:val="28231F"/>
          <w:sz w:val="22"/>
          <w:szCs w:val="22"/>
        </w:rPr>
        <w:t xml:space="preserve"/>
      </w:r>
    </w:p>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11. Primary quotation packet — Rādhā-kuṇḍāṣṭaka 1–8</w:t>
      </w:r>
    </w:p>
    <w:p>
      <w:pPr>
        <w:keepNext w:val="false"/>
        <w:keepLines/>
        <w:spacing w:after="120" w:before="0" w:line="300" w:lineRule="auto"/>
      </w:pPr>
      <w:r>
        <w:rPr>
          <w:rFonts w:ascii="Calibri" w:cs="Calibri" w:eastAsia="Calibri" w:hAnsi="Calibri"/>
          <w:b w:val="false"/>
          <w:bCs w:val="false"/>
          <w:i w:val="false"/>
          <w:iCs w:val="false"/>
          <w:caps w:val="false"/>
          <w:color w:val="28231F"/>
          <w:sz w:val="22"/>
          <w:szCs w:val="22"/>
        </w:rPr>
        <w:t xml:space="preserve">These eight verses are reproduced because they supply the most concentrated early Gauḍīya theology of the kuṇḍa. The English renderings are project research translations. They identify theological content rather than attempt metrical literary translation.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1</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vṛṣabha-danuja-nāśān narma-dharmokti-raṅgair / nikhila-nija-sakhībhir yat sva-hastena pūrṇam | prakaṭitam api vṛndāraṇya-rājñā pramodais / tad ati-surabhi rādhā-kuṇḍam evāśrayo me ||1||</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After the destruction of the bull demon, the Queen of Vṛndāvana, together with all Her own companions, joyfully manifested the complete lake with their own hands amid the delights of playful speech concerning dharma.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phrase narma-dharmokti-raṅgaiḥ is the controlling Gosvāmī key for reading the opening accusation as playful līlā speech, not proof of actual impurity in Kṛṣṇa.</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2</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vraja-bhuvi mura-śatroḥ preyasīnāṁ nikāmair / asulabham api tūrṇaṁ prema-kalpa-drumaṁ tam | janayati hṛdi bhūmau snātur uccair priyaṁ yat / tad ati-surabhi rādhā-kuṇḍam evāśrayo me ||2||</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It swiftly causes the cherished wish-fulfilling tree of prema to arise in the heart-land of one who bathes there—a treasure difficult to obtain even for the beloved companions of Kṛṣṇa in Vraja.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Bathing theology is expressed as the arising of prema, not merely the acquisition of external religious merit.</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3</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agha-ripur api yatnād atra devyāḥ prasāda- / prasara-kṛta-kaṭākṣa-prāpti-kāmaḥ prakāmam | anusarati yad uccaiḥ snāna-sevānubandhais / tad ati-surabhi rādhā-kuṇḍam evāśrayo me ||3||</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Even Kṛṣṇa, the enemy of Agha, eagerly follows this lake through bonds of bathing and service, desiring to obtain the gracious sidelong glance flowing from the Goddess.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This supplies a strong cross-text parallel to the tīrthas’ petition: access to Rādhā-kuṇḍa is governed by Rādhā’s prasāda, Her grace.</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4</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vraja-bhuvana-sudhāṁśoḥ prema-bhūmir nikāmaṁ / vraja-madhura-kiśorī-mauli-ratna-priyeva | paricitam api nāmnā yā ca tenaiva tasyās / tad ati-surabhi rādhā-kuṇḍam evāśrayo me ||4||</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It is supremely the field of love of the moon of Vraja; it is as dear to Him as the crown jewel among Vraja’s sweet young heroines, and it is known by Her very name.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Rādhā-kuṇḍa’s identity is relational: its name, dearness, and theological status correspond to Rādhā Herself.</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5</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api jana iha kaścid yasya sevā-prasādaiḥ / praṇaya-sura-latā syāt tasya goṣṭhendra-sūnoḥ | sapadi kila mad-īśā-dāsya-puṣpa-praśasyā / tad ati-surabhi rādhā-kuṇḍam evāśrayo me ||5||</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For anyone who receives the grace of serving it, the divine creeper of affection for the son of the lord of the cowherds arises and is quickly adorned with the celebrated blossom of service to my Mistress.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devotional goal is not anonymous sanctity: the lake’s grace flowers specifically as Rādhā-dāsya.</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6</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taṭa-madhura-nikuñjaḥ kḷpta-nāmāna uccair / nija-parijana-vargaiḥ saṁvibhajyāśritas taiḥ | madhukara-ruta-ramyā yasya rājanti kāmyās / tad ati-surabhi rādhā-kuṇḍam evāśrayo me ||6||</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On its bank shine enchanting, desirable groves, sweet with the humming of bees, bearing established names and apportioned among Her own circle of companions, who take shelter there.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manifested tīrtha opens into an organized eternal service landscape rather than remaining an empty commemorative pond.</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7</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taṭa-bhuvi vara-vedyāṁ yasya narmāti-hṛdyāṁ / madhura-madhura-vārtāṁ goṣṭha-candrasya bhaṅgyā | praṭhayati mitha īśā prāṇa-sakhyālibhiḥ sā / tad ati-surabhi rādhā-kuṇḍam evāśrayo me ||7||</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On a splendid terrace upon its bank, my Mistress and Her intimate life-companions disclose to one another, through expressive gestures, ever-sweeter and charmingly playful conversation about the Moon of Vraja.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kuṇḍa is a place of confidential speech, shared remembrance, and sakhī-mediated intimacy.</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Rādhā-kuṇḍāṣṭaka 8</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anudinam ati-raṅgaiḥ prema-mattāli-saṅghair / vara-sarasija-gandhair hāri-vāri-prapūrṇe | viharata iha yasmin dam-patī tau pramattau / tad ati-surabhi rādhā-kuṇḍam evāśrayo me ||8||</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Every day, in its captivating waters filled with the fragrance of excellent lotuses, the intoxicated Divine Couple sport amid assemblies of companions maddened by love and absorbed in ever-fresh play. May that exquisitely fragrant Rādhā-kuṇḍa be my shelter.</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word anudinam, “every day,” makes the nitya-līlā bridge explicit.</w:t>
            </w:r>
          </w:p>
        </w:tc>
      </w:tr>
    </w:tbl>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12. Corroborating quotation packet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Rūpa Gosvāmī, Upadeśāmṛta 9</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vaikuṇṭhāj janito varā madhu-purī tatrāpi rāsotsavād / vṛndāraṇyam udāra-pāṇi-ramaṇāt tatrāpi govardhanaḥ | rādhā-kuṇḍam ihāpi gokula-pateḥ premāmṛtāplāvanāt / kuryād asya virājato giri-taṭe sevāṁ vivekī na kaḥ ||9||</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Mathurā is superior to Vaikuṇṭha because of Kṛṣṇa’s birth; Vṛndāvana is higher because of rāsa; Govardhana is higher because of His generous-handed pastimes; and Rādhā-kuṇḍa is higher still because it is flooded with the nectar of the Lord of Gokula’s prema. What discerning person would not serve it at Govardhana’s foot?</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Sacred hierarchy is governed by the intimacy of līlā and prema, culminating in service to Rādhā-kuṇḍa.</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Rūpa Gosvāmī, Upadeśāmṛta 10</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karmibhyaḥ parito hareḥ priyatayā vyaktiṁ yayur jñāninas / tebhyo jñāna-vimukta-bhakti-paramāḥ premaika-niṣṭhās tataḥ | tebhyas tāḥ paśu-pāla-paṅkaja-dṛśas tābhyo ’pi sā rādhikā / preṣṭhā tadvad iyaṁ tadīya-sarasī tāṁ nāśrayet kaḥ kṛtī ||10||</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Above ritual actors are the wise; above them are devotees freed through knowledge; above them are those fixed exclusively in prema; above them are the lotus-eyed cowherd maidens; above them Rādhikā is dearest. Likewise Her lake is dearest—what fortunate person would not take shelter of it?</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kuṇḍa’s supremacy is inseparable from Rādhā’s supremacy and culminates in āśraya, shelter.</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Rūpa Gosvāmī, Upadeśāmṛta 11</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kṛṣṇasyoccaiḥ praṇaya-vasatiḥ preyasībhyo ’pi rādhā / kuṇḍaṁ cāsyā munibhir abhitas tādṛg eva vyadhāyi | yat preṣṭhair apy alam asulabhaṁ kiṁ punar bhakti-bhājāṁ / tat premedaṁ sakṛd api saraḥ snātur āviṣkaroti ||11||</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Rādhā is the highest dwelling of Kṛṣṇa’s love among His beloveds, and the sages have established that Her kuṇḍa is likewise. This lake reveals in one who bathes even once that prema which is exceedingly difficult to attain even for Kṛṣṇa’s dearest ones—what then of ordinary practitioners of devotion?</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promised fruit is not generic purity but the manifestation of prema.</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Govinda-līlāmṛta 7.102 — project mūla witness</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śrī-rādheva hares tadīya-sarasī preṣṭhādbhutaiḥ svair guṇair / yasyāṁ śrī-yuta-mādhavendur aniśaṁ premṇā tayā krīḍati | premāsmin bata rādhikeva labhate yasmin sakṛt snāna-kṛt / tat tasyā mahimā tathā madhurimā kenāstu varṇyaḥ kṣitau ||102||</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By its own wonderful qualities Her lake is as dear to Hari as Śrī Rādhā. There the moonlike, all-opulent Mādhava plays incessantly with Her in love. One who bathes there even once obtains love for Him like Rādhikā’s. Who on earth can describe its greatness and sweetness?</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This verse unites dearness, incessant play, bathing, prema, greatness, and sweetness.</w:t>
            </w:r>
          </w:p>
        </w:tc>
      </w:tr>
    </w:tbl>
    <w:p>
      <w:pPr>
        <w:keepNext w:val="false"/>
        <w:keepLines/>
        <w:pBdr>
          <w:top w:val="single" w:color="B58A3A" w:sz="8"/>
          <w:bottom w:val="single" w:color="D6C7B6" w:sz="3"/>
          <w:left w:val="single" w:color="B58A3A" w:sz="8"/>
          <w:right w:val="single" w:color="D6C7B6" w:sz="3"/>
        </w:pBdr>
        <w:shd w:fill="F4E8EA"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VARIANT NOTE  </w:t>
      </w:r>
      <w:r>
        <w:rPr>
          <w:rFonts w:ascii="Calibri" w:cs="Calibri" w:eastAsia="Calibri" w:hAnsi="Calibri"/>
          <w:b w:val="false"/>
          <w:bCs w:val="false"/>
          <w:i w:val="false"/>
          <w:iCs w:val="false"/>
          <w:caps w:val="false"/>
          <w:color w:val="28231F"/>
          <w:sz w:val="20"/>
          <w:szCs w:val="20"/>
        </w:rPr>
        <w:t xml:space="preserve">The Caitanya-caritāmṛta Madhya 18.12 witness reads prītyā where the project Govinda-līlāmṛta mūla reads premṇā, and also differs in the third and fourth lines (including yasyām / yasmin and tasyā vai / tat tasyā). RS-02 preserves the witnesses separately rather than silently harmonizing them.</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Raghunātha dāsa, Vilāpa-kusumāñjali 97</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sva-kuṇḍaṁ tava lolākṣi / sa-priyāyāḥ sadāspadam | atraiva mama saṁvāsa / ihaiva mama saṁsthitiḥ ||97||</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O restless-eyed one, Your own kuṇḍa is the eternal abode of You together with Your beloved. Here alone shall be my residence; here alone my abiding place.</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The devotional response to nitya-līlā identity is residence in the service-domain of Rādhā and Her beloved.</w:t>
            </w:r>
          </w:p>
        </w:tc>
      </w:tr>
    </w:tbl>
    <w:p>
      <w:pPr>
        <w:keepNext w:val="false"/>
        <w:keepLines/>
        <w:spacing w:after="70" w:before="0" w:line="240" w:lineRule="auto"/>
      </w:pPr>
      <w:r>
        <w:rPr>
          <w:rFonts w:ascii="Calibri" w:cs="Calibri" w:eastAsia="Calibri" w:hAnsi="Calibri"/>
          <w:b w:val="false"/>
          <w:bCs w:val="false"/>
          <w:i w:val="false"/>
          <w:iCs w:val="false"/>
          <w:caps w:val="false"/>
          <w:color w:val="28231F"/>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keepLines/>
              <w:spacing w:after="50" w:before="0" w:line="300" w:lineRule="auto"/>
            </w:pPr>
            <w:r>
              <w:rPr>
                <w:rFonts w:ascii="Calibri" w:cs="Calibri" w:eastAsia="Calibri" w:hAnsi="Calibri"/>
                <w:b/>
                <w:bCs/>
                <w:i w:val="false"/>
                <w:iCs w:val="false"/>
                <w:caps w:val="false"/>
                <w:color w:val="762F3B"/>
                <w:sz w:val="20"/>
                <w:szCs w:val="20"/>
              </w:rPr>
              <w:t xml:space="preserve">Raghunātha dāsa, Vraja-vilāsa-stava 52</w:t>
            </w:r>
          </w:p>
          <w:p>
            <w:pPr>
              <w:keepNext w:val="false"/>
              <w:keepLines/>
              <w:spacing w:after="70" w:before="0" w:line="285" w:lineRule="auto"/>
            </w:pPr>
            <w:r>
              <w:rPr>
                <w:rFonts w:ascii="Georgia" w:cs="Georgia" w:eastAsia="Georgia" w:hAnsi="Georgia"/>
                <w:b w:val="false"/>
                <w:bCs w:val="false"/>
                <w:i/>
                <w:iCs/>
                <w:caps w:val="false"/>
                <w:color w:val="28231F"/>
                <w:sz w:val="20"/>
                <w:szCs w:val="20"/>
              </w:rPr>
              <w:t xml:space="preserve">nīpaiś campaka-pālibhir nava-varāśokai rasālotkaraiḥ / punnāgair bakulair lavaṅga-latikā-vāsantikābhir vṛtaiḥ | hṛdyaṁ tat-priya-kuṇḍayos taṭa-milan-madhya-pradeśaṁ paraṁ / rādhā-mādhavayoḥ priya-sthalam idaṁ kelyās tad evāśraye ||52||</w:t>
            </w:r>
          </w:p>
          <w:p>
            <w:pPr>
              <w:keepNext w:val="false"/>
              <w:keepLines/>
              <w:spacing w:after="55" w:before="0" w:line="285" w:lineRule="auto"/>
            </w:pPr>
            <w:r>
              <w:rPr>
                <w:rFonts w:ascii="Calibri" w:cs="Calibri" w:eastAsia="Calibri" w:hAnsi="Calibri"/>
                <w:b w:val="false"/>
                <w:bCs w:val="false"/>
                <w:i w:val="false"/>
                <w:iCs w:val="false"/>
                <w:caps w:val="false"/>
                <w:color w:val="28231F"/>
                <w:sz w:val="20"/>
                <w:szCs w:val="20"/>
              </w:rPr>
              <w:t xml:space="preserve">I take shelter of that charming middle region where the banks of the two beloved kuṇḍas meet, surrounded by flowering trees and vines—a supreme, beloved place of play for Rādhā and Mādhava.</w:t>
            </w:r>
          </w:p>
          <w:p>
            <w:pPr>
              <w:keepNext w:val="false"/>
              <w:keepLines/>
              <w:spacing w:after="0" w:before="0" w:line="260" w:lineRule="auto"/>
            </w:pPr>
            <w:r>
              <w:rPr>
                <w:rFonts w:ascii="Calibri" w:cs="Calibri" w:eastAsia="Calibri" w:hAnsi="Calibri"/>
                <w:b/>
                <w:bCs/>
                <w:i w:val="false"/>
                <w:iCs w:val="false"/>
                <w:caps w:val="false"/>
                <w:color w:val="762F3B"/>
                <w:sz w:val="18"/>
                <w:szCs w:val="18"/>
              </w:rPr>
              <w:t xml:space="preserve">Research use — </w:t>
            </w:r>
            <w:r>
              <w:rPr>
                <w:rFonts w:ascii="Calibri" w:cs="Calibri" w:eastAsia="Calibri" w:hAnsi="Calibri"/>
                <w:b w:val="false"/>
                <w:bCs w:val="false"/>
                <w:i w:val="false"/>
                <w:iCs w:val="false"/>
                <w:caps w:val="false"/>
                <w:color w:val="6E645D"/>
                <w:sz w:val="18"/>
                <w:szCs w:val="18"/>
              </w:rPr>
              <w:t xml:space="preserve">This supports the theological importance of the twin-kuṇḍa meeting-region while leaving modern localization open.</w:t>
            </w:r>
          </w:p>
        </w:tc>
      </w:tr>
    </w:tbl>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13. Drafting protocol for the future story</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Narrative sequence</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Begin with the Bhāgavata Ariṣṭāsura frame already controlled in RS-01.</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Signal the transition to the twenty-verse Purāṇic account transmitted by Viśvanātha.</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Present Rādhā’s charge explicitly as playful dharma speech, while allowing its dramatic force to remain alive.</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Let Kṛṣṇa’s heel strike and the appearance of the tīrthas establish His sovereignty before Rādhā’s response unfolds.</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Emphasize Rādhā and the sakhīs’ joyful, collective, own-hand manifestation of Her lake.</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Give the tīrthas’ petition sufficient narrative space; it is the theological hinge rather than an ornamental hymn.</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Narrate the joining of the waters without dissolving the distinct identities of the paired ponds.</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Preserve both sides of the mutual vows.</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Use verse 18 to move explicitly from manifestation into eternal daily water-play.</w:t>
      </w:r>
    </w:p>
    <w:p>
      <w:pPr>
        <w:pStyle w:val="ListParagraph"/>
        <w:numPr>
          <w:ilvl w:val="0"/>
          <w:numId w:val="4"/>
        </w:numPr>
        <w:spacing w:after="80" w:line="300" w:lineRule="auto"/>
      </w:pPr>
      <w:r>
        <w:rPr>
          <w:rFonts w:ascii="Calibri" w:cs="Calibri" w:eastAsia="Calibri" w:hAnsi="Calibri"/>
          <w:b w:val="false"/>
          <w:bCs w:val="false"/>
          <w:i w:val="false"/>
          <w:iCs w:val="false"/>
          <w:caps w:val="false"/>
          <w:color w:val="28231F"/>
          <w:sz w:val="21"/>
          <w:szCs w:val="21"/>
        </w:rPr>
        <w:t xml:space="preserve">End with verse 20’s rāsa, then interpret the continuing nitya-līlā through Rādhā-kuṇḍāṣṭaka, Caitanya-caritāmṛta, Govinda-līlāmṛta, and Kṛṣṇa-bhāvanāmṛta.</w:t>
      </w:r>
    </w:p>
    <w:p>
      <w:r>
        <w:br w:type="page"/>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Do not write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“Kṛṣṇa was sinful and needed ordinary ritual purification.”</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“Rādhā defeated Kṛṣṇa” without immediately restoring reciprocal love and His delighted service.</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sakhīs dug with their bangles” unless a separate source is named.</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two ponds became one pond.” The texts continue to distinguish them.</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“Bathing automatically grants the highest prema” without the verses’ context of service, shelter, and devotional orientation.</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“The eternal bridge/kuñja/pavilion is this exact modern structure” without historical-localization evidence.</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Preferred theological language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060"/>
      </w:tblGrid>
      <w:tr>
        <w:trPr>
          <w:cantSplit/>
          <w:tblHeader/>
        </w:trPr>
        <w:tc>
          <w:tcPr>
            <w:tcW w:type="dxa" w:w="33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Instead of</w:t>
            </w:r>
          </w:p>
        </w:tc>
        <w:tc>
          <w:tcPr>
            <w:tcW w:type="dxa" w:w="60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Prefer</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Actual contamination</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Playful dharma accusation within the līlā</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A contest for superiority</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A progressive revelation culminating in grace and mutual dearness</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Rādhā creates a rival pond</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Rādhā independently manifests Her own kuṇḍa with Her sakhīs</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The tīrthas become holy</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The tīrthas seek the grace of entering Rādhā’s lake</w:t>
            </w:r>
          </w:p>
        </w:tc>
      </w:tr>
      <w:tr>
        <w:trPr>
          <w:cantSplit/>
        </w:trPr>
        <w:tc>
          <w:tcPr>
            <w:tcW w:type="dxa" w:w="33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A historical memorial</w:t>
            </w:r>
          </w:p>
        </w:tc>
        <w:tc>
          <w:tcPr>
            <w:tcW w:type="dxa" w:w="60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A manifested tīrtha revealed by Gosvāmī texts as an eternal daily-līlā environment</w:t>
            </w:r>
          </w:p>
        </w:tc>
      </w:tr>
      <w:tr>
        <w:trPr>
          <w:cantSplit/>
        </w:trPr>
        <w:tc>
          <w:tcPr>
            <w:tcW w:type="dxa" w:w="33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Pilgrimage reward</w:t>
            </w:r>
          </w:p>
        </w:tc>
        <w:tc>
          <w:tcPr>
            <w:tcW w:type="dxa" w:w="60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40" w:lineRule="auto"/>
            </w:pPr>
            <w:r>
              <w:rPr>
                <w:rFonts w:ascii="Calibri" w:cs="Calibri" w:eastAsia="Calibri" w:hAnsi="Calibri"/>
                <w:b w:val="false"/>
                <w:bCs w:val="false"/>
                <w:i w:val="false"/>
                <w:iCs w:val="false"/>
                <w:caps w:val="false"/>
                <w:color w:val="28231F"/>
                <w:sz w:val="18"/>
                <w:szCs w:val="18"/>
              </w:rPr>
              <w:t xml:space="preserve">Prema, shelter, sevā, residence, and Rādhā-dāsya</w:t>
            </w:r>
          </w:p>
        </w:tc>
      </w:tr>
    </w:tbl>
    <w:p>
      <w:pPr>
        <w:pStyle w:val="Heading1"/>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14. Open questions and next research boundary</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900"/>
        <w:gridCol w:w="3460"/>
      </w:tblGrid>
      <w:tr>
        <w:trPr>
          <w:cantSplit/>
          <w:tblHeader/>
        </w:trPr>
        <w:tc>
          <w:tcPr>
            <w:tcW w:type="dxa" w:w="30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Question</w:t>
            </w:r>
          </w:p>
        </w:tc>
        <w:tc>
          <w:tcPr>
            <w:tcW w:type="dxa" w:w="29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Current status</w:t>
            </w:r>
          </w:p>
        </w:tc>
        <w:tc>
          <w:tcPr>
            <w:tcW w:type="dxa" w:w="34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Effect</w:t>
            </w:r>
          </w:p>
        </w:tc>
      </w:tr>
      <w:tr>
        <w:trPr>
          <w:cantSplit/>
        </w:trPr>
        <w:tc>
          <w:tcPr>
            <w:tcW w:type="dxa" w:w="30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Does a checked early commentary explicitly name māna in this episode?</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Open</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Use “playful contrariety”; label māna as interpretive until verified.</w:t>
            </w:r>
          </w:p>
        </w:tc>
      </w:tr>
      <w:tr>
        <w:trPr>
          <w:cantSplit/>
        </w:trPr>
        <w:tc>
          <w:tcPr>
            <w:tcW w:type="dxa" w:w="30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What is the exact Purāṇic recension behind all twenty verses?</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Open from RS-01</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Not a blocker if attribution remains “Purāṇic account transmitted by Viśvanātha.”</w:t>
            </w:r>
          </w:p>
        </w:tc>
      </w:tr>
      <w:tr>
        <w:trPr>
          <w:cantSplit/>
        </w:trPr>
        <w:tc>
          <w:tcPr>
            <w:tcW w:type="dxa" w:w="30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How should the joining of the waters be treated metaphysically?</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Synthesis controlled by v.17, GL 7.6, VVS 52</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Use relational language; do not invent a formal ontology.</w:t>
            </w:r>
          </w:p>
        </w:tc>
      </w:tr>
      <w:tr>
        <w:trPr>
          <w:cantSplit/>
        </w:trPr>
        <w:tc>
          <w:tcPr>
            <w:tcW w:type="dxa" w:w="30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How exactly do Rūpa’s commentators interpret Upadeśāmṛta 9–11?</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Next-level commentary study</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Useful enrichment, not required for the present core ruling.</w:t>
            </w:r>
          </w:p>
        </w:tc>
      </w:tr>
      <w:tr>
        <w:trPr>
          <w:cantSplit/>
        </w:trPr>
        <w:tc>
          <w:tcPr>
            <w:tcW w:type="dxa" w:w="30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How should physical bathing practices be presented pastorally?</w:t>
            </w:r>
          </w:p>
        </w:tc>
        <w:tc>
          <w:tcPr>
            <w:tcW w:type="dxa" w:w="29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Requires tradition-specific ritual study</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Separate from the present textual-theological conclusions.</w:t>
            </w:r>
          </w:p>
        </w:tc>
      </w:tr>
      <w:tr>
        <w:trPr>
          <w:cantSplit/>
        </w:trPr>
        <w:tc>
          <w:tcPr>
            <w:tcW w:type="dxa" w:w="30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How does Mahāprabhu’s visit unfold as a complete narrative?</w:t>
            </w:r>
          </w:p>
        </w:tc>
        <w:tc>
          <w:tcPr>
            <w:tcW w:type="dxa" w:w="29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Controlled in RK-04, not synthesized here</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5" w:lineRule="auto"/>
            </w:pPr>
            <w:r>
              <w:rPr>
                <w:rFonts w:ascii="Calibri" w:cs="Calibri" w:eastAsia="Calibri" w:hAnsi="Calibri"/>
                <w:b w:val="false"/>
                <w:bCs w:val="false"/>
                <w:i w:val="false"/>
                <w:iCs w:val="false"/>
                <w:caps w:val="false"/>
                <w:color w:val="28231F"/>
                <w:sz w:val="17"/>
                <w:szCs w:val="17"/>
              </w:rPr>
              <w:t xml:space="preserve">This is the next research unit before literary composition.</w:t>
            </w:r>
          </w:p>
        </w:tc>
      </w:tr>
    </w:tbl>
    <w:p>
      <w:pPr>
        <w:keepNext w:val="false"/>
        <w:keepLines/>
        <w:pBdr>
          <w:top w:val="single" w:color="B58A3A" w:sz="8"/>
          <w:bottom w:val="single" w:color="D6C7B6" w:sz="3"/>
          <w:left w:val="single" w:color="B58A3A" w:sz="8"/>
          <w:right w:val="single" w:color="D6C7B6" w:sz="3"/>
        </w:pBdr>
        <w:shd w:fill="E6F0E8" w:color="auto" w:val="clear"/>
        <w:spacing w:after="120" w:before="80" w:line="285" w:lineRule="auto"/>
        <w:ind w:left="180" w:right="180"/>
      </w:pPr>
      <w:r>
        <w:rPr>
          <w:rFonts w:ascii="Calibri" w:cs="Calibri" w:eastAsia="Calibri" w:hAnsi="Calibri"/>
          <w:b/>
          <w:bCs/>
          <w:i w:val="false"/>
          <w:iCs w:val="false"/>
          <w:caps w:val="false"/>
          <w:color w:val="762F3B"/>
          <w:sz w:val="19"/>
          <w:szCs w:val="19"/>
        </w:rPr>
        <w:t xml:space="preserve">RS-02 COMPLETION RULING  </w:t>
      </w:r>
      <w:r>
        <w:rPr>
          <w:rFonts w:ascii="Calibri" w:cs="Calibri" w:eastAsia="Calibri" w:hAnsi="Calibri"/>
          <w:b w:val="false"/>
          <w:bCs w:val="false"/>
          <w:i w:val="false"/>
          <w:iCs w:val="false"/>
          <w:caps w:val="false"/>
          <w:color w:val="28231F"/>
          <w:sz w:val="20"/>
          <w:szCs w:val="20"/>
        </w:rPr>
        <w:t xml:space="preserve">The theological movement of the manifestation narrative is sufficiently controlled to proceed. The next research unit should be RS-03: Śrī Caitanya Mahāprabhu at Rādhā-kuṇḍa—recognition of the lupta tīrtha, bathing, praise, remembrance, dancing, tilaka, and the transition toward Govardhana. The literary Story of Rādhā-kuṇḍa should begin only after that Caitanya-līlā unit is consolidated.</w:t>
      </w:r>
    </w:p>
    <w:p>
      <w:pPr>
        <w:pStyle w:val="Heading1"/>
        <w:keepNext/>
        <w:keepLines/>
        <w:pageBreakBefore/>
        <w:spacing w:after="120" w:before="0" w:line="300" w:lineRule="auto"/>
      </w:pPr>
      <w:r>
        <w:rPr>
          <w:rFonts w:ascii="Calibri" w:cs="Calibri" w:eastAsia="Calibri" w:hAnsi="Calibri"/>
          <w:b w:val="false"/>
          <w:bCs w:val="false"/>
          <w:i w:val="false"/>
          <w:iCs w:val="false"/>
          <w:caps w:val="false"/>
          <w:color w:val="28231F"/>
          <w:sz w:val="22"/>
          <w:szCs w:val="22"/>
        </w:rPr>
        <w:t xml:space="preserve">15. Source register and verification record</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Primary and Gosvāmī witnesses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700"/>
        <w:gridCol w:w="3460"/>
      </w:tblGrid>
      <w:tr>
        <w:trPr>
          <w:cantSplit/>
          <w:tblHeader/>
        </w:trPr>
        <w:tc>
          <w:tcPr>
            <w:tcW w:type="dxa" w:w="12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Siglum</w:t>
            </w:r>
          </w:p>
        </w:tc>
        <w:tc>
          <w:tcPr>
            <w:tcW w:type="dxa" w:w="470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Witness</w:t>
            </w:r>
          </w:p>
        </w:tc>
        <w:tc>
          <w:tcPr>
            <w:tcW w:type="dxa" w:w="3460"/>
            <w:tcBorders>
              <w:top w:val="single" w:color="D6C7B6" w:sz="3"/>
              <w:left w:val="single" w:color="D6C7B6" w:sz="3"/>
              <w:bottom w:val="single" w:color="D6C7B6" w:sz="3"/>
              <w:right w:val="single" w:color="D6C7B6" w:sz="3"/>
            </w:tcBorders>
            <w:shd w:fill="762F3B" w:color="auto" w:val="clear"/>
            <w:tcMar>
              <w:top w:type="dxa" w:w="80"/>
              <w:left w:type="dxa" w:w="120"/>
              <w:bottom w:type="dxa" w:w="80"/>
              <w:right w:type="dxa" w:w="120"/>
            </w:tcMar>
            <w:vAlign w:val="center"/>
          </w:tcPr>
          <w:p>
            <w:pPr>
              <w:keepNext w:val="false"/>
              <w:keepLines/>
              <w:spacing w:after="0" w:before="0" w:line="235" w:lineRule="auto"/>
            </w:pPr>
            <w:r>
              <w:rPr>
                <w:rFonts w:ascii="Calibri" w:cs="Calibri" w:eastAsia="Calibri" w:hAnsi="Calibri"/>
                <w:b/>
                <w:bCs/>
                <w:i w:val="false"/>
                <w:iCs w:val="false"/>
                <w:caps w:val="false"/>
                <w:color w:val="FFFFFF"/>
                <w:sz w:val="18"/>
                <w:szCs w:val="18"/>
              </w:rPr>
              <w:t xml:space="preserve">Use in RS-02</w:t>
            </w:r>
          </w:p>
        </w:tc>
      </w:tr>
      <w:tr>
        <w:trPr>
          <w:cantSplit/>
        </w:trPr>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MV</w:t>
            </w:r>
          </w:p>
        </w:tc>
        <w:tc>
          <w:tcPr>
            <w:tcW w:type="dxa" w:w="4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Twenty-verse manifestation account transmitted by Viśvanātha Cakravartī</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Narrative spine; verses 1–20.</w:t>
            </w:r>
          </w:p>
        </w:tc>
      </w:tr>
      <w:tr>
        <w:trPr>
          <w:cantSplit/>
        </w:trPr>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RKA</w:t>
            </w:r>
          </w:p>
        </w:tc>
        <w:tc>
          <w:tcPr>
            <w:tcW w:type="dxa" w:w="4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Raghunātha dāsa Gosvāmī, Rādhā-kuṇḍāṣṭaka 1–8</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Principal theological commentary: play, manifestation, grace, dearness, service, daily līlā.</w:t>
            </w:r>
          </w:p>
        </w:tc>
      </w:tr>
      <w:tr>
        <w:trPr>
          <w:cantSplit/>
        </w:trPr>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MM</w:t>
            </w:r>
          </w:p>
        </w:tc>
        <w:tc>
          <w:tcPr>
            <w:tcW w:type="dxa" w:w="4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Rūpa Gosvāmī, Mathurā-māhātmya 418–423</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Equivalence of dearness and pilgrimage theology.</w:t>
            </w:r>
          </w:p>
        </w:tc>
      </w:tr>
      <w:tr>
        <w:trPr>
          <w:cantSplit/>
        </w:trPr>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NOI</w:t>
            </w:r>
          </w:p>
        </w:tc>
        <w:tc>
          <w:tcPr>
            <w:tcW w:type="dxa" w:w="4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Rūpa Gosvāmī, Upadeśāmṛta 9–11</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Sacred hierarchy, shelter, service, and prema.</w:t>
            </w:r>
          </w:p>
        </w:tc>
      </w:tr>
      <w:tr>
        <w:trPr>
          <w:cantSplit/>
        </w:trPr>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VKS</w:t>
            </w:r>
          </w:p>
        </w:tc>
        <w:tc>
          <w:tcPr>
            <w:tcW w:type="dxa" w:w="4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Raghunātha dāsa, Vilāpa-kusumāñjali 97</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Eternal abode and desired residence.</w:t>
            </w:r>
          </w:p>
        </w:tc>
      </w:tr>
      <w:tr>
        <w:trPr>
          <w:cantSplit/>
        </w:trPr>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VVS</w:t>
            </w:r>
          </w:p>
        </w:tc>
        <w:tc>
          <w:tcPr>
            <w:tcW w:type="dxa" w:w="4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Raghunātha dāsa, Vraja-vilāsa-stava 52</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Twin-kuṇḍa meeting-region as beloved līlā-place.</w:t>
            </w:r>
          </w:p>
        </w:tc>
      </w:tr>
      <w:tr>
        <w:trPr>
          <w:cantSplit/>
        </w:trPr>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GL</w:t>
            </w:r>
          </w:p>
        </w:tc>
        <w:tc>
          <w:tcPr>
            <w:tcW w:type="dxa" w:w="4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Kṛṣṇadāsa Kavirāja, Govinda-līlāmṛta 7, 15, 23</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Mature nitya-līlā geography, water-play, service, and literary genealogy.</w:t>
            </w:r>
          </w:p>
        </w:tc>
      </w:tr>
      <w:tr>
        <w:trPr>
          <w:cantSplit/>
        </w:trPr>
        <w:tc>
          <w:tcPr>
            <w:tcW w:type="dxa" w:w="12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KBh</w:t>
            </w:r>
          </w:p>
        </w:tc>
        <w:tc>
          <w:tcPr>
            <w:tcW w:type="dxa" w:w="470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Viśvanātha Cakravartī, Kṛṣṇa-bhāvanāmṛta 14–15</w:t>
            </w:r>
          </w:p>
        </w:tc>
        <w:tc>
          <w:tcPr>
            <w:tcW w:type="dxa" w:w="3460"/>
            <w:tcBorders>
              <w:top w:val="single" w:color="D6C7B6" w:sz="3"/>
              <w:left w:val="single" w:color="D6C7B6" w:sz="3"/>
              <w:bottom w:val="single" w:color="D6C7B6" w:sz="3"/>
              <w:right w:val="single" w:color="D6C7B6" w:sz="3"/>
            </w:tcBorders>
            <w:shd w:fill="F7F1E7"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Twin-kuṇḍa water-play and post-play service.</w:t>
            </w:r>
          </w:p>
        </w:tc>
      </w:tr>
      <w:tr>
        <w:trPr>
          <w:cantSplit/>
        </w:trPr>
        <w:tc>
          <w:tcPr>
            <w:tcW w:type="dxa" w:w="12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CC</w:t>
            </w:r>
          </w:p>
        </w:tc>
        <w:tc>
          <w:tcPr>
            <w:tcW w:type="dxa" w:w="470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Caitanya-caritāmṛta Madhya 18.3–15</w:t>
            </w:r>
          </w:p>
        </w:tc>
        <w:tc>
          <w:tcPr>
            <w:tcW w:type="dxa" w:w="3460"/>
            <w:tcBorders>
              <w:top w:val="single" w:color="D6C7B6" w:sz="3"/>
              <w:left w:val="single" w:color="D6C7B6" w:sz="3"/>
              <w:bottom w:val="single" w:color="D6C7B6" w:sz="3"/>
              <w:right w:val="single" w:color="D6C7B6" w:sz="3"/>
            </w:tcBorders>
            <w:shd w:fill="FFFFFF" w:color="auto" w:val="clear"/>
            <w:tcMar>
              <w:top w:type="dxa" w:w="80"/>
              <w:left w:type="dxa" w:w="120"/>
              <w:bottom w:type="dxa" w:w="80"/>
              <w:right w:type="dxa" w:w="120"/>
            </w:tcMar>
            <w:vAlign w:val="center"/>
          </w:tcPr>
          <w:p>
            <w:pPr>
              <w:keepNext w:val="false"/>
              <w:keepLines/>
              <w:spacing w:after="40" w:before="0" w:line="220" w:lineRule="auto"/>
            </w:pPr>
            <w:r>
              <w:rPr>
                <w:rFonts w:ascii="Calibri" w:cs="Calibri" w:eastAsia="Calibri" w:hAnsi="Calibri"/>
                <w:b w:val="false"/>
                <w:bCs w:val="false"/>
                <w:i w:val="false"/>
                <w:iCs w:val="false"/>
                <w:caps w:val="false"/>
                <w:color w:val="28231F"/>
                <w:sz w:val="16"/>
                <w:szCs w:val="16"/>
              </w:rPr>
              <w:t xml:space="preserve">Mahāprabhu’s nitya-līlā reading of the obscured physical tīrtha.</w:t>
            </w:r>
          </w:p>
        </w:tc>
      </w:tr>
    </w:tbl>
    <w:p>
      <w:r>
        <w:br w:type="page"/>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Local project witnesses consulted</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Radhakunda_RS-01_Manifestation_Textual_Genealogy_and_Quotation_Packet_v1.0.docx.</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01_Radhakunda_Research_Dossier_v0.4(1).docx.</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RK-02_Radhakunda_Nitya-lila_and_Sacred_Geography_Research_Ledger_v0.2(1).docx.</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RK-04_Radhakunda_Caitanya_Gosvamis_and_Gaudiya_History_Research_Ledger_v0.3(1).docx.</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stavavali_-_raghunatha_dasa_gosvamin 2.docx.pdf.</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govinda-lilamrtam (mula-matram)_-_krsnadasa_kaviraja.docx.</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Kṛṣṇa-bhāvanāmṛta, Govinda-līlāmṛta commentary, Mathurā-māhātmya, and Vraja-rīti-cintāmaṇi project files.</w:t>
      </w:r>
    </w:p>
    <w:p>
      <w:r>
        <w:br w:type="page"/>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Verification notes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Rādhā-kuṇḍāṣṭaka, Vilāpa-kusumāñjali 97, and Vraja-vilāsa-stava 52 were checked in the local Stavāvalī witness.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Govinda-līlāmṛta Sanskrit was checked in the local searchable mūla text; the GL 7.102 variant was preserved rather than conformed to Caitanya-caritāmṛta.</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Upadeśāmṛta 9–11 and Caitanya-caritāmṛta Madhya 18 were checked against the current VedaBase text on 20 August 2026.</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Kṛṣṇa-bhāvanāmṛta loci were carried from the visually verified RK-02 ledger; RS-02 does not claim new verse-level philology beyond those checks.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English renderings labeled as project translations are concise theological research translations, not published literary translations.</w:t>
      </w:r>
    </w:p>
    <w:p>
      <w:pPr>
        <w:pStyle w:val="ListParagraph"/>
        <w:numPr>
          <w:ilvl w:val="0"/>
          <w:numId w:val="2"/>
        </w:numPr>
        <w:spacing w:after="80" w:line="300" w:lineRule="auto"/>
      </w:pPr>
      <w:r>
        <w:rPr>
          <w:rFonts w:ascii="Calibri" w:cs="Calibri" w:eastAsia="Calibri" w:hAnsi="Calibri"/>
          <w:b w:val="false"/>
          <w:bCs w:val="false"/>
          <w:i w:val="false"/>
          <w:iCs w:val="false"/>
          <w:caps w:val="false"/>
          <w:color w:val="28231F"/>
          <w:sz w:val="21"/>
          <w:szCs w:val="21"/>
        </w:rPr>
        <w:t xml:space="preserve">No contemporary physical history or modern-site identification was introduced into the theological rulings.</w:t>
      </w:r>
    </w:p>
    <w:p>
      <w:pPr>
        <w:pStyle w:val="Heading2"/>
        <w:keepNext/>
        <w:keepLines/>
        <w:spacing w:after="120" w:before="0" w:line="300" w:lineRule="auto"/>
      </w:pPr>
      <w:r>
        <w:rPr>
          <w:rFonts w:ascii="Calibri" w:cs="Calibri" w:eastAsia="Calibri" w:hAnsi="Calibri"/>
          <w:b w:val="false"/>
          <w:bCs w:val="false"/>
          <w:i w:val="false"/>
          <w:iCs w:val="false"/>
          <w:caps w:val="false"/>
          <w:color w:val="28231F"/>
          <w:sz w:val="22"/>
          <w:szCs w:val="22"/>
        </w:rPr>
        <w:t xml:space="preserve">Digital references</w:t>
      </w:r>
    </w:p>
    <w:p>
      <w:pPr>
        <w:keepNext w:val="false"/>
        <w:keepLines/>
        <w:spacing w:after="0" w:before="0" w:line="280" w:lineRule="auto"/>
      </w:pPr>
      <w:hyperlink w:history="1" r:id="rIdkortx-vztwxoqe0mwfq6k">
        <w:r>
          <w:rPr>
            <w:rFonts w:ascii="Calibri" w:cs="Calibri" w:eastAsia="Calibri" w:hAnsi="Calibri"/>
            <w:b w:val="false"/>
            <w:bCs w:val="false"/>
            <w:i w:val="false"/>
            <w:iCs w:val="false"/>
            <w:caps w:val="false"/>
            <w:color w:val="1F5A8A"/>
            <w:sz w:val="19"/>
            <w:szCs w:val="19"/>
          </w:rPr>
          <w:t xml:space="preserve">Upadeśāmṛta 9</w:t>
        </w:r>
      </w:hyperlink>
      <w:r>
        <w:rPr>
          <w:rFonts w:ascii="Calibri" w:cs="Calibri" w:eastAsia="Calibri" w:hAnsi="Calibri"/>
          <w:b w:val="false"/>
          <w:bCs w:val="false"/>
          <w:i w:val="false"/>
          <w:iCs w:val="false"/>
          <w:caps w:val="false"/>
          <w:color w:val="6E645D"/>
          <w:sz w:val="19"/>
          <w:szCs w:val="19"/>
        </w:rPr>
        <w:t xml:space="preserve"> · </w:t>
      </w:r>
      <w:hyperlink w:history="1" r:id="rId8hdggdtjlrrmezyvp-jti">
        <w:r>
          <w:rPr>
            <w:rFonts w:ascii="Calibri" w:cs="Calibri" w:eastAsia="Calibri" w:hAnsi="Calibri"/>
            <w:b w:val="false"/>
            <w:bCs w:val="false"/>
            <w:i w:val="false"/>
            <w:iCs w:val="false"/>
            <w:caps w:val="false"/>
            <w:color w:val="1F5A8A"/>
            <w:sz w:val="19"/>
            <w:szCs w:val="19"/>
          </w:rPr>
          <w:t xml:space="preserve">Upadeśāmṛta 10</w:t>
        </w:r>
      </w:hyperlink>
      <w:r>
        <w:rPr>
          <w:rFonts w:ascii="Calibri" w:cs="Calibri" w:eastAsia="Calibri" w:hAnsi="Calibri"/>
          <w:b w:val="false"/>
          <w:bCs w:val="false"/>
          <w:i w:val="false"/>
          <w:iCs w:val="false"/>
          <w:caps w:val="false"/>
          <w:color w:val="6E645D"/>
          <w:sz w:val="19"/>
          <w:szCs w:val="19"/>
        </w:rPr>
        <w:t xml:space="preserve"> · </w:t>
      </w:r>
      <w:hyperlink w:history="1" r:id="rId1lvu7wrrfnpblydiifsyl">
        <w:r>
          <w:rPr>
            <w:rFonts w:ascii="Calibri" w:cs="Calibri" w:eastAsia="Calibri" w:hAnsi="Calibri"/>
            <w:b w:val="false"/>
            <w:bCs w:val="false"/>
            <w:i w:val="false"/>
            <w:iCs w:val="false"/>
            <w:caps w:val="false"/>
            <w:color w:val="1F5A8A"/>
            <w:sz w:val="19"/>
            <w:szCs w:val="19"/>
          </w:rPr>
          <w:t xml:space="preserve">Upadeśāmṛta 11</w:t>
        </w:r>
      </w:hyperlink>
      <w:r>
        <w:rPr>
          <w:rFonts w:ascii="Calibri" w:cs="Calibri" w:eastAsia="Calibri" w:hAnsi="Calibri"/>
          <w:b w:val="false"/>
          <w:bCs w:val="false"/>
          <w:i w:val="false"/>
          <w:iCs w:val="false"/>
          <w:caps w:val="false"/>
          <w:color w:val="6E645D"/>
          <w:sz w:val="19"/>
          <w:szCs w:val="19"/>
        </w:rPr>
        <w:t xml:space="preserve"> · </w:t>
      </w:r>
      <w:hyperlink w:history="1" r:id="rIdebzrshohokyn59lq7_hss">
        <w:r>
          <w:rPr>
            <w:rFonts w:ascii="Calibri" w:cs="Calibri" w:eastAsia="Calibri" w:hAnsi="Calibri"/>
            <w:b w:val="false"/>
            <w:bCs w:val="false"/>
            <w:i w:val="false"/>
            <w:iCs w:val="false"/>
            <w:caps w:val="false"/>
            <w:color w:val="1F5A8A"/>
            <w:sz w:val="19"/>
            <w:szCs w:val="19"/>
          </w:rPr>
          <w:t xml:space="preserve">Caitanya-caritāmṛta Madhya 18</w:t>
        </w:r>
      </w:hyperlink>
    </w:p>
    <w:sectPr>
      <w:type w:val="continuous"/>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1"/>
      </w:pPr>
    </w:lvl>
    <w:lvl w:ilvl="1" w15:tentative="1">
      <w:start w:val="1"/>
      <w:numFmt w:val="bullet"/>
      <w:lvlText w:val="◦"/>
      <w:lvlJc w:val="left"/>
      <w:pPr>
        <w:spacing w:after="80" w:line="300"/>
        <w:ind w:left="900" w:hanging="271"/>
      </w:pPr>
    </w:lvl>
  </w:abstractNum>
  <w:abstractNum w:abstractNumId="3" w15:restartNumberingAfterBreak="0">
    <w:multiLevelType w:val="hybridMultilevel"/>
    <w:lvl w:ilvl="0" w15:tentative="1">
      <w:start w:val="1"/>
      <w:numFmt w:val="decimal"/>
      <w:lvlText w:val="%1."/>
      <w:lvlJc w:val="left"/>
      <w:pPr>
        <w:spacing w:after="80" w:line="300"/>
        <w:ind w:left="540" w:hanging="271"/>
      </w:pPr>
    </w:lvl>
  </w:abstractNum>
  <w:abstractNum w:abstractNumId="4" w15:restartNumberingAfterBreak="0">
    <w:multiLevelType w:val="hybridMultilevel"/>
    <w:lvl w:ilvl="0" w15:tentative="1">
      <w:start w:val="1"/>
      <w:numFmt w:val="decimal"/>
      <w:lvlText w:val="%1."/>
      <w:lvlJc w:val="left"/>
      <w:pPr>
        <w:spacing w:after="80" w:line="300"/>
        <w:ind w:left="540" w:hanging="271"/>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31F"/>
        <w:sz w:val="22"/>
        <w:szCs w:val="22"/>
      </w:rPr>
    </w:rPrDefault>
    <w:pPrDefault>
      <w:pPr>
        <w:spacing w:after="120" w:before="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58A3A" w:sz="6"/>
      </w:pBdr>
      <w:spacing w:after="200" w:before="360" w:line="360"/>
      <w:outlineLvl w:val="0"/>
    </w:pPr>
    <w:rPr>
      <w:rFonts w:ascii="Calibri" w:cs="Calibri" w:eastAsia="Calibri" w:hAnsi="Calibri"/>
      <w:b/>
      <w:bCs/>
      <w:color w:val="762F3B"/>
      <w:sz w:val="32"/>
      <w:szCs w:val="32"/>
    </w:rPr>
  </w:style>
  <w:style w:type="paragraph" w:styleId="Heading2">
    <w:name w:val="Heading 2"/>
    <w:basedOn w:val="Normal"/>
    <w:next w:val="Normal"/>
    <w:qFormat/>
    <w:pPr>
      <w:keepNext/>
      <w:spacing w:after="140" w:before="280" w:line="310"/>
      <w:outlineLvl w:val="1"/>
    </w:pPr>
    <w:rPr>
      <w:rFonts w:ascii="Calibri" w:cs="Calibri" w:eastAsia="Calibri" w:hAnsi="Calibri"/>
      <w:b/>
      <w:bCs/>
      <w:color w:val="762F3B"/>
      <w:sz w:val="26"/>
      <w:szCs w:val="26"/>
    </w:rPr>
  </w:style>
  <w:style w:type="paragraph" w:styleId="Heading3">
    <w:name w:val="Heading 3"/>
    <w:basedOn w:val="Normal"/>
    <w:next w:val="Normal"/>
    <w:qFormat/>
    <w:pPr>
      <w:keepNext/>
      <w:spacing w:after="100" w:before="200" w:line="29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ortx-vztwxoqe0mwfq6k" Type="http://schemas.openxmlformats.org/officeDocument/2006/relationships/hyperlink" Target="https://vedabase.io/en/library/noi/9/" TargetMode="External"/><Relationship Id="rId8hdggdtjlrrmezyvp-jti" Type="http://schemas.openxmlformats.org/officeDocument/2006/relationships/hyperlink" Target="https://vedabase.io/en/library/noi/10/" TargetMode="External"/><Relationship Id="rId1lvu7wrrfnpblydiifsyl" Type="http://schemas.openxmlformats.org/officeDocument/2006/relationships/hyperlink" Target="https://vedabase.io/en/library/noi/11/" TargetMode="External"/><Relationship Id="rIdebzrshohokyn59lq7_hss" Type="http://schemas.openxmlformats.org/officeDocument/2006/relationships/hyperlink" Target="https://vedabase.io/en/library/cc/madhya/18/"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RS-02 — Theological Architecture of the Rādhā-kuṇḍa Manifestation Līlā</dc:title>
  <dc:creator>Govardhana Pilgrimage Project</dc:creator>
  <dc:description>A verse-controlled theological study connecting the manifestation account to the Gosvāmī corpus, nitya-līlā, and Caitanya reception.</dc:description>
  <cp:lastModifiedBy>Un-named</cp:lastModifiedBy>
  <cp:revision>1</cp:revision>
  <dcterms:created xsi:type="dcterms:W3CDTF">2026-08-20T22:58:08.256Z</dcterms:created>
  <dcterms:modified xsi:type="dcterms:W3CDTF">2026-08-20T22:58:08.257Z</dcterms:modified>
</cp:coreProperties>
</file>

<file path=docProps/custom.xml><?xml version="1.0" encoding="utf-8"?>
<Properties xmlns="http://schemas.openxmlformats.org/officeDocument/2006/custom-properties" xmlns:vt="http://schemas.openxmlformats.org/officeDocument/2006/docPropsVTypes"/>
</file>