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44"/>
        </w:rPr>
        <w:t>RK-02 — Rādhā-kuṇḍa Nitya-līlā &amp; Sacred Geography</w:t>
      </w:r>
    </w:p>
    <w:p>
      <w:pPr>
        <w:spacing w:after="60"/>
        <w:jc w:val="center"/>
      </w:pPr>
      <w:r>
        <w:rPr>
          <w:i/>
          <w:sz w:val="22"/>
        </w:rPr>
        <w:t>Living research ledger • v0.1 • 18 Aug 2026</w:t>
      </w:r>
    </w:p>
    <w:p>
      <w:pPr>
        <w:spacing w:after="60"/>
      </w:pPr>
      <w:r>
        <w:rPr>
          <w:b/>
        </w:rPr>
        <w:t xml:space="preserve">Purpose. </w:t>
      </w:r>
      <w:r>
        <w:t>This specialist ledger preserves the complete working reconstruction of Rādhā-kuṇḍa as a nitya-līlā landscape before polished guidebook prose is written. It is intentionally more detailed than the future chapter. No significant route marker, named grove, service role, variant, or unresolved identification should exist only in conversation history.</w:t>
      </w:r>
    </w:p>
    <w:p>
      <w:pPr>
        <w:spacing w:after="60"/>
      </w:pPr>
      <w:r>
        <w:rPr>
          <w:b/>
        </w:rPr>
        <w:t xml:space="preserve">Authority rule. </w:t>
      </w:r>
      <w:r>
        <w:t>The work itself determines the source layer; the witness available to us determines quotation confidence. Govinda-līlāmṛta passages listed with exact verses are currently treated as directly verified from the searchable Sanskrit mūla. Kṛṣṇa-bhāvanāmṛta is an A-level Gosvāmī source, but many details below are presently recovered through the searchable English working translation; those entries remain “Sanskrit locus pending” until checked against the Bengali-script Sanskrit/commentary edition.</w:t>
      </w:r>
    </w:p>
    <w:p>
      <w:pPr>
        <w:pStyle w:val="Heading1"/>
        <w:spacing w:after="60"/>
      </w:pPr>
      <w:r>
        <w:t>1. Source shorthand and evidence status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blHeader w:val="true"/>
          <w:tblHeader w:val="true"/>
          <w:tblHeader w:val="true"/>
          <w:cantSplit/>
        </w:trPr>
        <w:tc>
          <w:tcPr>
            <w:tcW w:type="dxa" w:w="2592"/>
            <w:shd w:fill="E9EEF5"/>
          </w:tcPr>
          <w:p>
            <w:r>
              <w:t>Short form</w:t>
            </w:r>
          </w:p>
        </w:tc>
        <w:tc>
          <w:tcPr>
            <w:tcW w:type="dxa" w:w="2592"/>
            <w:shd w:fill="E9EEF5"/>
          </w:tcPr>
          <w:p>
            <w:r>
              <w:t>Work</w:t>
            </w:r>
          </w:p>
        </w:tc>
        <w:tc>
          <w:tcPr>
            <w:tcW w:type="dxa" w:w="2592"/>
            <w:shd w:fill="E9EEF5"/>
          </w:tcPr>
          <w:p>
            <w:r>
              <w:t>Author</w:t>
            </w:r>
          </w:p>
        </w:tc>
        <w:tc>
          <w:tcPr>
            <w:tcW w:type="dxa" w:w="2592"/>
            <w:shd w:fill="E9EEF5"/>
          </w:tcPr>
          <w:p>
            <w:r>
              <w:t>Use in this ledger</w:t>
            </w:r>
          </w:p>
        </w:tc>
      </w:tr>
      <w:tr>
        <w:trPr>
          <w:cantSplit/>
        </w:trPr>
        <w:tc>
          <w:tcPr>
            <w:tcW w:type="dxa" w:w="2592"/>
            <w:vAlign w:val="top"/>
          </w:tcPr>
          <w:p>
            <w:r>
              <w:t>GL</w:t>
            </w:r>
          </w:p>
        </w:tc>
        <w:tc>
          <w:tcPr>
            <w:tcW w:type="dxa" w:w="2592"/>
            <w:vAlign w:val="top"/>
          </w:tcPr>
          <w:p>
            <w:r>
              <w:t>Govinda-līlāmṛta</w:t>
            </w:r>
          </w:p>
        </w:tc>
        <w:tc>
          <w:tcPr>
            <w:tcW w:type="dxa" w:w="2592"/>
            <w:vAlign w:val="top"/>
          </w:tcPr>
          <w:p>
            <w:r>
              <w:t>Kṛṣṇadāsa Kavirāja Gosvāmī</w:t>
            </w:r>
          </w:p>
        </w:tc>
        <w:tc>
          <w:tcPr>
            <w:tcW w:type="dxa" w:w="2592"/>
            <w:vAlign w:val="top"/>
          </w:tcPr>
          <w:p>
            <w:r>
              <w:t>Primary Sanskrit anchor for architecture, route, kuñjas, services and daily līlā.</w:t>
            </w:r>
          </w:p>
        </w:tc>
      </w:tr>
      <w:tr>
        <w:trPr>
          <w:cantSplit/>
        </w:trPr>
        <w:tc>
          <w:tcPr>
            <w:tcW w:type="dxa" w:w="2592"/>
            <w:vAlign w:val="top"/>
          </w:tcPr>
          <w:p>
            <w:r>
              <w:t>KBh</w:t>
            </w:r>
          </w:p>
        </w:tc>
        <w:tc>
          <w:tcPr>
            <w:tcW w:type="dxa" w:w="2592"/>
            <w:vAlign w:val="top"/>
          </w:tcPr>
          <w:p>
            <w:r>
              <w:t>Kṛṣṇa-bhāvanāmṛta Mahākāvya</w:t>
            </w:r>
          </w:p>
        </w:tc>
        <w:tc>
          <w:tcPr>
            <w:tcW w:type="dxa" w:w="2592"/>
            <w:vAlign w:val="top"/>
          </w:tcPr>
          <w:p>
            <w:r>
              <w:t>Viśvanātha Cakravartī Ṭhākura</w:t>
            </w:r>
          </w:p>
        </w:tc>
        <w:tc>
          <w:tcPr>
            <w:tcW w:type="dxa" w:w="2592"/>
            <w:vAlign w:val="top"/>
          </w:tcPr>
          <w:p>
            <w:r>
              <w:t>Primary later Gosvāmī aṣṭa-kālīya narrative; working English used for discovery until Sanskrit verse locus is verified.</w:t>
            </w:r>
          </w:p>
        </w:tc>
      </w:tr>
      <w:tr>
        <w:trPr>
          <w:cantSplit/>
        </w:trPr>
        <w:tc>
          <w:tcPr>
            <w:tcW w:type="dxa" w:w="2592"/>
            <w:vAlign w:val="top"/>
          </w:tcPr>
          <w:p>
            <w:r>
              <w:t>VRC</w:t>
            </w:r>
          </w:p>
        </w:tc>
        <w:tc>
          <w:tcPr>
            <w:tcW w:type="dxa" w:w="2592"/>
            <w:vAlign w:val="top"/>
          </w:tcPr>
          <w:p>
            <w:r>
              <w:t>Vraja-rīti-cintāmaṇi</w:t>
            </w:r>
          </w:p>
        </w:tc>
        <w:tc>
          <w:tcPr>
            <w:tcW w:type="dxa" w:w="2592"/>
            <w:vAlign w:val="top"/>
          </w:tcPr>
          <w:p>
            <w:r>
              <w:t>Viśvanātha Cakravartī Ṭhākura</w:t>
            </w:r>
          </w:p>
        </w:tc>
        <w:tc>
          <w:tcPr>
            <w:tcW w:type="dxa" w:w="2592"/>
            <w:vAlign w:val="top"/>
          </w:tcPr>
          <w:p>
            <w:r>
              <w:t>Later Gosvāmī idealized Vraja geography; useful for continuity/comparison.</w:t>
            </w:r>
          </w:p>
        </w:tc>
      </w:tr>
      <w:tr>
        <w:trPr>
          <w:cantSplit/>
        </w:trPr>
        <w:tc>
          <w:tcPr>
            <w:tcW w:type="dxa" w:w="2592"/>
            <w:vAlign w:val="top"/>
          </w:tcPr>
          <w:p>
            <w:r>
              <w:t>RKA</w:t>
            </w:r>
          </w:p>
        </w:tc>
        <w:tc>
          <w:tcPr>
            <w:tcW w:type="dxa" w:w="2592"/>
            <w:vAlign w:val="top"/>
          </w:tcPr>
          <w:p>
            <w:r>
              <w:t>Rādhā-kuṇḍāṣṭaka</w:t>
            </w:r>
          </w:p>
        </w:tc>
        <w:tc>
          <w:tcPr>
            <w:tcW w:type="dxa" w:w="2592"/>
            <w:vAlign w:val="top"/>
          </w:tcPr>
          <w:p>
            <w:r>
              <w:t>Raghunātha dāsa Gosvāmī</w:t>
            </w:r>
          </w:p>
        </w:tc>
        <w:tc>
          <w:tcPr>
            <w:tcW w:type="dxa" w:w="2592"/>
            <w:vAlign w:val="top"/>
          </w:tcPr>
          <w:p>
            <w:r>
              <w:t>Primary theological/nitya-līlā framing of the kuṇḍa and named kuñjas.</w:t>
            </w:r>
          </w:p>
        </w:tc>
      </w:tr>
      <w:tr>
        <w:trPr>
          <w:cantSplit/>
        </w:trPr>
        <w:tc>
          <w:tcPr>
            <w:tcW w:type="dxa" w:w="2592"/>
            <w:vAlign w:val="top"/>
          </w:tcPr>
          <w:p>
            <w:r>
              <w:t>VVS</w:t>
            </w:r>
          </w:p>
        </w:tc>
        <w:tc>
          <w:tcPr>
            <w:tcW w:type="dxa" w:w="2592"/>
            <w:vAlign w:val="top"/>
          </w:tcPr>
          <w:p>
            <w:r>
              <w:t>Vraja-vilāsa-stava</w:t>
            </w:r>
          </w:p>
        </w:tc>
        <w:tc>
          <w:tcPr>
            <w:tcW w:type="dxa" w:w="2592"/>
            <w:vAlign w:val="top"/>
          </w:tcPr>
          <w:p>
            <w:r>
              <w:t>Raghunātha dāsa Gosvāmī</w:t>
            </w:r>
          </w:p>
        </w:tc>
        <w:tc>
          <w:tcPr>
            <w:tcW w:type="dxa" w:w="2592"/>
            <w:vAlign w:val="top"/>
          </w:tcPr>
          <w:p>
            <w:r>
              <w:t>Primary twin-kuṇḍa meeting-region and Govardhana landscape evidence.</w:t>
            </w:r>
          </w:p>
        </w:tc>
      </w:tr>
      <w:tr>
        <w:trPr>
          <w:cantSplit/>
        </w:trPr>
        <w:tc>
          <w:tcPr>
            <w:tcW w:type="dxa" w:w="2592"/>
            <w:vAlign w:val="top"/>
          </w:tcPr>
          <w:p>
            <w:r>
              <w:t>BR</w:t>
            </w:r>
          </w:p>
        </w:tc>
        <w:tc>
          <w:tcPr>
            <w:tcW w:type="dxa" w:w="2592"/>
            <w:vAlign w:val="top"/>
          </w:tcPr>
          <w:p>
            <w:r>
              <w:t>Bhakti-ratnākara</w:t>
            </w:r>
          </w:p>
        </w:tc>
        <w:tc>
          <w:tcPr>
            <w:tcW w:type="dxa" w:w="2592"/>
            <w:vAlign w:val="top"/>
          </w:tcPr>
          <w:p>
            <w:r>
              <w:t>Narahari Cakravartī</w:t>
            </w:r>
          </w:p>
        </w:tc>
        <w:tc>
          <w:tcPr>
            <w:tcW w:type="dxa" w:w="2592"/>
            <w:vAlign w:val="top"/>
          </w:tcPr>
          <w:p>
            <w:r>
              <w:t>Early pilgrimage/localization layer; not identical to eternal-līlā geography.</w:t>
            </w:r>
          </w:p>
        </w:tc>
      </w:tr>
    </w:tbl>
    <w:p>
      <w:pPr>
        <w:spacing w:after="60"/>
      </w:pPr>
      <w:r>
        <w:rPr>
          <w:b/>
        </w:rPr>
        <w:t xml:space="preserve">Status vocabulary: </w:t>
      </w:r>
      <w:r>
        <w:t>VERIFIED = exact locus recovered in the primary searchable text; WORKING = passage recovered from a translation/secondary witness but exact Sanskrit locus still to be checked; UNRESOLVED = competing names/identities/localizations not yet reconciled; MODERN-LOCALIZATION OPEN = eternal or early textual place is secure, but equation with a present physical site is unproven.</w:t>
      </w:r>
    </w:p>
    <w:p>
      <w:pPr>
        <w:pStyle w:val="Heading1"/>
        <w:spacing w:after="60"/>
      </w:pPr>
      <w:r>
        <w:t>2. Static sacred architecture: Govinda-līlāmṛta Sarga 7</w:t>
      </w:r>
    </w:p>
    <w:p>
      <w:pPr>
        <w:spacing w:after="60"/>
        <w:ind w:left="403" w:right="259"/>
      </w:pPr>
      <w:r>
        <w:rPr>
          <w:i/>
        </w:rPr>
        <w:t>kiyad-dūraṁ tato gatvā nivṛtyodvartmanā hariḥ | rādhā-kuṇḍaṁ samāyātaḥ priyā-saṅgotsukaḥ priyam ||7.1||</w:t>
      </w:r>
    </w:p>
    <w:p>
      <w:pPr>
        <w:spacing w:after="60"/>
        <w:ind w:left="403"/>
      </w:pPr>
      <w:r>
        <w:rPr>
          <w:b/>
          <w:sz w:val="18"/>
        </w:rPr>
        <w:t>GL 7.1</w:t>
      </w:r>
      <w:r>
        <w:rPr>
          <w:i/>
          <w:sz w:val="18"/>
        </w:rPr>
        <w:t xml:space="preserve"> — VERIFIED Sanskrit</w:t>
      </w:r>
    </w:p>
    <w:p>
      <w:pPr>
        <w:spacing w:after="60"/>
      </w:pPr>
      <w:r>
        <w:t>Kṛṣṇa turns from His prior course and reaches beloved Rādhā-kuṇḍa, eager for the company of His beloved. This makes Sarga 7 both a topographic description and part of an actual route narrative.</w:t>
      </w:r>
    </w:p>
    <w:p>
      <w:pPr>
        <w:pStyle w:val="ListBullet"/>
        <w:spacing w:after="60"/>
      </w:pPr>
      <w:r>
        <w:t>GL 7.2–3: rows of jeweled steps surround the kuṇḍa; four cardinal tīrthas/bathing approaches are furnished with pavilions and paved platforms. The text says tīrtha, so the final guide must not silently identify these with specific later masonry ghāṭs.</w:t>
      </w:r>
    </w:p>
    <w:p>
      <w:pPr>
        <w:pStyle w:val="ListBullet"/>
        <w:spacing w:after="60"/>
      </w:pPr>
      <w:r>
        <w:t>GL 7.4–5: four jeweled swings are tied to directional trees: south—campaka; east—nīpa; west—mango; north—bakula.</w:t>
      </w:r>
    </w:p>
    <w:p>
      <w:pPr>
        <w:spacing w:after="60"/>
        <w:ind w:left="403" w:right="259"/>
      </w:pPr>
      <w:r>
        <w:rPr>
          <w:i/>
        </w:rPr>
        <w:t>pūrvāgneya-diśor madhye priya-kuṇḍena saṅgatam | tatrordhve stambhakālambi-citra-setu-samanvitam ||7.6||</w:t>
      </w:r>
    </w:p>
    <w:p>
      <w:pPr>
        <w:spacing w:after="60"/>
        <w:ind w:left="403"/>
      </w:pPr>
      <w:r>
        <w:rPr>
          <w:b/>
          <w:sz w:val="18"/>
        </w:rPr>
        <w:t>GL 7.6</w:t>
      </w:r>
      <w:r>
        <w:rPr>
          <w:i/>
          <w:sz w:val="18"/>
        </w:rPr>
        <w:t xml:space="preserve"> — VERIFIED Sanskrit</w:t>
      </w:r>
    </w:p>
    <w:p>
      <w:pPr>
        <w:pStyle w:val="ListBullet"/>
        <w:spacing w:after="60"/>
      </w:pPr>
      <w:r>
        <w:t>GL 7.6: Rādhā-kuṇḍa meets the beloved companion kuṇḍa between the east and south-east sectors, and a bridge (setu) stands above the junction. This is A-level textual saṅgama geography; identity with the present causeway remains a historical/localization question.</w:t>
      </w:r>
    </w:p>
    <w:p>
      <w:pPr>
        <w:pStyle w:val="ListBullet"/>
        <w:spacing w:after="60"/>
      </w:pPr>
      <w:r>
        <w:t>GL 7.7–18: the bank is an organized pleasure-garden/service environment: trees, jeweled pavements, seasonal structures, flower/fruit gardens, paths, pavilions, beds, seats, swings, refreshments, betel, water-sprinklers and stores of service materials.</w:t>
      </w:r>
    </w:p>
    <w:p>
      <w:pPr>
        <w:pStyle w:val="ListBullet"/>
        <w:spacing w:after="60"/>
      </w:pPr>
      <w:r>
        <w:t>GL 7.13: forest goddesses and hundreds of kuñja-dāsīs gather/prep flowers and fruits and prepare service articles. This is a social/service ecology, not empty scenery.</w:t>
      </w:r>
    </w:p>
    <w:p>
      <w:pPr>
        <w:pStyle w:val="Heading1"/>
        <w:spacing w:after="60"/>
      </w:pPr>
      <w:r>
        <w:t>3. Definitive aṣṭa-sakhī mandala and central lotus dwelling</w:t>
      </w:r>
    </w:p>
    <w:p>
      <w:pPr>
        <w:spacing w:after="60"/>
      </w:pPr>
      <w:r>
        <w:t>GL 7.27 gives the governing principle: eight named kuñjas shine on the banks in the eight directions and belong to Rādhā’s most beloved sakhīs. The directional system is primary Gosvāmī geography; exact modern plots remain separately investigable.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blHeader w:val="true"/>
          <w:tblHeader w:val="true"/>
          <w:tblHeader w:val="true"/>
          <w:tblHeader w:val="true"/>
          <w:tblHeader w:val="true"/>
          <w:cantSplit/>
        </w:trPr>
        <w:tc>
          <w:tcPr>
            <w:tcW w:type="dxa" w:w="1728"/>
            <w:shd w:fill="E9EEF5"/>
          </w:tcPr>
          <w:p>
            <w:r>
              <w:t>Direction</w:t>
            </w:r>
          </w:p>
        </w:tc>
        <w:tc>
          <w:tcPr>
            <w:tcW w:type="dxa" w:w="1728"/>
            <w:shd w:fill="E9EEF5"/>
          </w:tcPr>
          <w:p>
            <w:r>
              <w:t>Associate</w:t>
            </w:r>
          </w:p>
        </w:tc>
        <w:tc>
          <w:tcPr>
            <w:tcW w:type="dxa" w:w="1728"/>
            <w:shd w:fill="E9EEF5"/>
          </w:tcPr>
          <w:p>
            <w:r>
              <w:t>Textual name</w:t>
            </w:r>
          </w:p>
        </w:tc>
        <w:tc>
          <w:tcPr>
            <w:tcW w:type="dxa" w:w="1728"/>
            <w:shd w:fill="E9EEF5"/>
          </w:tcPr>
          <w:p>
            <w:r>
              <w:t>GL locus</w:t>
            </w:r>
          </w:p>
        </w:tc>
        <w:tc>
          <w:tcPr>
            <w:tcW w:type="dxa" w:w="1728"/>
            <w:shd w:fill="E9EEF5"/>
          </w:tcPr>
          <w:p>
            <w:r>
              <w:t>Aesthetic / service marker</w:t>
            </w:r>
          </w:p>
        </w:tc>
        <w:tc>
          <w:tcPr>
            <w:tcW w:type="dxa" w:w="1728"/>
            <w:shd w:fill="E9EEF5"/>
          </w:tcPr>
          <w:p>
            <w:r>
              <w:t>Status</w:t>
            </w:r>
          </w:p>
        </w:tc>
      </w:tr>
      <w:tr>
        <w:trPr>
          <w:cantSplit/>
        </w:trPr>
        <w:tc>
          <w:tcPr>
            <w:tcW w:type="dxa" w:w="1728"/>
            <w:vAlign w:val="top"/>
          </w:tcPr>
          <w:p>
            <w:r>
              <w:t>North</w:t>
            </w:r>
          </w:p>
        </w:tc>
        <w:tc>
          <w:tcPr>
            <w:tcW w:type="dxa" w:w="1728"/>
            <w:vAlign w:val="top"/>
          </w:tcPr>
          <w:p>
            <w:r>
              <w:t>Lalitā</w:t>
            </w:r>
          </w:p>
        </w:tc>
        <w:tc>
          <w:tcPr>
            <w:tcW w:type="dxa" w:w="1728"/>
            <w:vAlign w:val="top"/>
          </w:tcPr>
          <w:p>
            <w:r>
              <w:t>Lalitānandada / Anaṅga-raṅgāmbuja complex</w:t>
            </w:r>
          </w:p>
        </w:tc>
        <w:tc>
          <w:tcPr>
            <w:tcW w:type="dxa" w:w="1728"/>
            <w:vAlign w:val="top"/>
          </w:tcPr>
          <w:p>
            <w:r>
              <w:t>7.31–72</w:t>
            </w:r>
          </w:p>
        </w:tc>
        <w:tc>
          <w:tcPr>
            <w:tcW w:type="dxa" w:w="1728"/>
            <w:vAlign w:val="top"/>
          </w:tcPr>
          <w:p>
            <w:r>
              <w:t>Large internal micro-map; palace, lotus, swing and spring sub-groves.</w:t>
            </w:r>
          </w:p>
        </w:tc>
        <w:tc>
          <w:tcPr>
            <w:tcW w:type="dxa" w:w="1728"/>
            <w:vAlign w:val="top"/>
          </w:tcPr>
          <w:p>
            <w:r>
              <w:t>VERIFIED</w:t>
            </w:r>
          </w:p>
        </w:tc>
      </w:tr>
      <w:tr>
        <w:trPr>
          <w:cantSplit/>
        </w:trPr>
        <w:tc>
          <w:tcPr>
            <w:tcW w:type="dxa" w:w="1728"/>
            <w:vAlign w:val="top"/>
          </w:tcPr>
          <w:p>
            <w:r>
              <w:t>North-east</w:t>
            </w:r>
          </w:p>
        </w:tc>
        <w:tc>
          <w:tcPr>
            <w:tcW w:type="dxa" w:w="1728"/>
            <w:vAlign w:val="top"/>
          </w:tcPr>
          <w:p>
            <w:r>
              <w:t>Viśākhā</w:t>
            </w:r>
          </w:p>
        </w:tc>
        <w:tc>
          <w:tcPr>
            <w:tcW w:type="dxa" w:w="1728"/>
            <w:vAlign w:val="top"/>
          </w:tcPr>
          <w:p>
            <w:r>
              <w:t>Madana-sukhada / Viśākhānandada</w:t>
            </w:r>
          </w:p>
        </w:tc>
        <w:tc>
          <w:tcPr>
            <w:tcW w:type="dxa" w:w="1728"/>
            <w:vAlign w:val="top"/>
          </w:tcPr>
          <w:p>
            <w:r>
              <w:t>7.73–78</w:t>
            </w:r>
          </w:p>
        </w:tc>
        <w:tc>
          <w:tcPr>
            <w:tcW w:type="dxa" w:w="1728"/>
            <w:vAlign w:val="top"/>
          </w:tcPr>
          <w:p>
            <w:r>
              <w:t>Maintained by Mañjumukhī; richly flowered/jeweled.</w:t>
            </w:r>
          </w:p>
        </w:tc>
        <w:tc>
          <w:tcPr>
            <w:tcW w:type="dxa" w:w="1728"/>
            <w:vAlign w:val="top"/>
          </w:tcPr>
          <w:p>
            <w:r>
              <w:t>VERIFIED</w:t>
            </w:r>
          </w:p>
        </w:tc>
      </w:tr>
      <w:tr>
        <w:trPr>
          <w:cantSplit/>
        </w:trPr>
        <w:tc>
          <w:tcPr>
            <w:tcW w:type="dxa" w:w="1728"/>
            <w:vAlign w:val="top"/>
          </w:tcPr>
          <w:p>
            <w:r>
              <w:t>East</w:t>
            </w:r>
          </w:p>
        </w:tc>
        <w:tc>
          <w:tcPr>
            <w:tcW w:type="dxa" w:w="1728"/>
            <w:vAlign w:val="top"/>
          </w:tcPr>
          <w:p>
            <w:r>
              <w:t>Citrā</w:t>
            </w:r>
          </w:p>
        </w:tc>
        <w:tc>
          <w:tcPr>
            <w:tcW w:type="dxa" w:w="1728"/>
            <w:vAlign w:val="top"/>
          </w:tcPr>
          <w:p>
            <w:r>
              <w:t>Citrānandada</w:t>
            </w:r>
          </w:p>
        </w:tc>
        <w:tc>
          <w:tcPr>
            <w:tcW w:type="dxa" w:w="1728"/>
            <w:vAlign w:val="top"/>
          </w:tcPr>
          <w:p>
            <w:r>
              <w:t>7.79–80</w:t>
            </w:r>
          </w:p>
        </w:tc>
        <w:tc>
          <w:tcPr>
            <w:tcW w:type="dxa" w:w="1728"/>
            <w:vAlign w:val="top"/>
          </w:tcPr>
          <w:p>
            <w:r>
              <w:t>Variegated/citra aesthetic.</w:t>
            </w:r>
          </w:p>
        </w:tc>
        <w:tc>
          <w:tcPr>
            <w:tcW w:type="dxa" w:w="1728"/>
            <w:vAlign w:val="top"/>
          </w:tcPr>
          <w:p>
            <w:r>
              <w:t>VERIFIED</w:t>
            </w:r>
          </w:p>
        </w:tc>
      </w:tr>
      <w:tr>
        <w:trPr>
          <w:cantSplit/>
        </w:trPr>
        <w:tc>
          <w:tcPr>
            <w:tcW w:type="dxa" w:w="1728"/>
            <w:vAlign w:val="top"/>
          </w:tcPr>
          <w:p>
            <w:r>
              <w:t>South-east</w:t>
            </w:r>
          </w:p>
        </w:tc>
        <w:tc>
          <w:tcPr>
            <w:tcW w:type="dxa" w:w="1728"/>
            <w:vAlign w:val="top"/>
          </w:tcPr>
          <w:p>
            <w:r>
              <w:t>Indulekhā</w:t>
            </w:r>
          </w:p>
        </w:tc>
        <w:tc>
          <w:tcPr>
            <w:tcW w:type="dxa" w:w="1728"/>
            <w:vAlign w:val="top"/>
          </w:tcPr>
          <w:p>
            <w:r>
              <w:t>Pūrṇendu-kuñja</w:t>
            </w:r>
          </w:p>
        </w:tc>
        <w:tc>
          <w:tcPr>
            <w:tcW w:type="dxa" w:w="1728"/>
            <w:vAlign w:val="top"/>
          </w:tcPr>
          <w:p>
            <w:r>
              <w:t>7.81–84</w:t>
            </w:r>
          </w:p>
        </w:tc>
        <w:tc>
          <w:tcPr>
            <w:tcW w:type="dxa" w:w="1728"/>
            <w:vAlign w:val="top"/>
          </w:tcPr>
          <w:p>
            <w:r>
              <w:t>White/crystal/moonstone/full-moon concealment aesthetic.</w:t>
            </w:r>
          </w:p>
        </w:tc>
        <w:tc>
          <w:tcPr>
            <w:tcW w:type="dxa" w:w="1728"/>
            <w:vAlign w:val="top"/>
          </w:tcPr>
          <w:p>
            <w:r>
              <w:t>VERIFIED</w:t>
            </w:r>
          </w:p>
        </w:tc>
      </w:tr>
      <w:tr>
        <w:trPr>
          <w:cantSplit/>
        </w:trPr>
        <w:tc>
          <w:tcPr>
            <w:tcW w:type="dxa" w:w="1728"/>
            <w:vAlign w:val="top"/>
          </w:tcPr>
          <w:p>
            <w:r>
              <w:t>South</w:t>
            </w:r>
          </w:p>
        </w:tc>
        <w:tc>
          <w:tcPr>
            <w:tcW w:type="dxa" w:w="1728"/>
            <w:vAlign w:val="top"/>
          </w:tcPr>
          <w:p>
            <w:r>
              <w:t>Campakalatā</w:t>
            </w:r>
          </w:p>
        </w:tc>
        <w:tc>
          <w:tcPr>
            <w:tcW w:type="dxa" w:w="1728"/>
            <w:vAlign w:val="top"/>
          </w:tcPr>
          <w:p>
            <w:r>
              <w:t>Campakalatānandada / golden kuñja</w:t>
            </w:r>
          </w:p>
        </w:tc>
        <w:tc>
          <w:tcPr>
            <w:tcW w:type="dxa" w:w="1728"/>
            <w:vAlign w:val="top"/>
          </w:tcPr>
          <w:p>
            <w:r>
              <w:t>7.85–92</w:t>
            </w:r>
          </w:p>
        </w:tc>
        <w:tc>
          <w:tcPr>
            <w:tcW w:type="dxa" w:w="1728"/>
            <w:vAlign w:val="top"/>
          </w:tcPr>
          <w:p>
            <w:r>
              <w:t>Golden environment; kuñja kitchen and confidential meal service.</w:t>
            </w:r>
          </w:p>
        </w:tc>
        <w:tc>
          <w:tcPr>
            <w:tcW w:type="dxa" w:w="1728"/>
            <w:vAlign w:val="top"/>
          </w:tcPr>
          <w:p>
            <w:r>
              <w:t>VERIFIED</w:t>
            </w:r>
          </w:p>
        </w:tc>
      </w:tr>
      <w:tr>
        <w:trPr>
          <w:cantSplit/>
        </w:trPr>
        <w:tc>
          <w:tcPr>
            <w:tcW w:type="dxa" w:w="1728"/>
            <w:vAlign w:val="top"/>
          </w:tcPr>
          <w:p>
            <w:r>
              <w:t>South-west</w:t>
            </w:r>
          </w:p>
        </w:tc>
        <w:tc>
          <w:tcPr>
            <w:tcW w:type="dxa" w:w="1728"/>
            <w:vAlign w:val="top"/>
          </w:tcPr>
          <w:p>
            <w:r>
              <w:t>Raṅgadevī</w:t>
            </w:r>
          </w:p>
        </w:tc>
        <w:tc>
          <w:tcPr>
            <w:tcW w:type="dxa" w:w="1728"/>
            <w:vAlign w:val="top"/>
          </w:tcPr>
          <w:p>
            <w:r>
              <w:t>Śyāma-kuñja</w:t>
            </w:r>
          </w:p>
        </w:tc>
        <w:tc>
          <w:tcPr>
            <w:tcW w:type="dxa" w:w="1728"/>
            <w:vAlign w:val="top"/>
          </w:tcPr>
          <w:p>
            <w:r>
              <w:t>7.93–95</w:t>
            </w:r>
          </w:p>
        </w:tc>
        <w:tc>
          <w:tcPr>
            <w:tcW w:type="dxa" w:w="1728"/>
            <w:vAlign w:val="top"/>
          </w:tcPr>
          <w:p>
            <w:r>
              <w:t>Dark sapphire/tamāla environment; concealment motif.</w:t>
            </w:r>
          </w:p>
        </w:tc>
        <w:tc>
          <w:tcPr>
            <w:tcW w:type="dxa" w:w="1728"/>
            <w:vAlign w:val="top"/>
          </w:tcPr>
          <w:p>
            <w:r>
              <w:t>VERIFIED</w:t>
            </w:r>
          </w:p>
        </w:tc>
      </w:tr>
      <w:tr>
        <w:trPr>
          <w:cantSplit/>
        </w:trPr>
        <w:tc>
          <w:tcPr>
            <w:tcW w:type="dxa" w:w="1728"/>
            <w:vAlign w:val="top"/>
          </w:tcPr>
          <w:p>
            <w:r>
              <w:t>West</w:t>
            </w:r>
          </w:p>
        </w:tc>
        <w:tc>
          <w:tcPr>
            <w:tcW w:type="dxa" w:w="1728"/>
            <w:vAlign w:val="top"/>
          </w:tcPr>
          <w:p>
            <w:r>
              <w:t>Tuṅgavidyā</w:t>
            </w:r>
          </w:p>
        </w:tc>
        <w:tc>
          <w:tcPr>
            <w:tcW w:type="dxa" w:w="1728"/>
            <w:vAlign w:val="top"/>
          </w:tcPr>
          <w:p>
            <w:r>
              <w:t>Aruṇa-kuñja</w:t>
            </w:r>
          </w:p>
        </w:tc>
        <w:tc>
          <w:tcPr>
            <w:tcW w:type="dxa" w:w="1728"/>
            <w:vAlign w:val="top"/>
          </w:tcPr>
          <w:p>
            <w:r>
              <w:t>7.96–97</w:t>
            </w:r>
          </w:p>
        </w:tc>
        <w:tc>
          <w:tcPr>
            <w:tcW w:type="dxa" w:w="1728"/>
            <w:vAlign w:val="top"/>
          </w:tcPr>
          <w:p>
            <w:r>
              <w:t>Red/ruby environment.</w:t>
            </w:r>
          </w:p>
        </w:tc>
        <w:tc>
          <w:tcPr>
            <w:tcW w:type="dxa" w:w="1728"/>
            <w:vAlign w:val="top"/>
          </w:tcPr>
          <w:p>
            <w:r>
              <w:t>VERIFIED</w:t>
            </w:r>
          </w:p>
        </w:tc>
      </w:tr>
      <w:tr>
        <w:trPr>
          <w:cantSplit/>
        </w:trPr>
        <w:tc>
          <w:tcPr>
            <w:tcW w:type="dxa" w:w="1728"/>
            <w:vAlign w:val="top"/>
          </w:tcPr>
          <w:p>
            <w:r>
              <w:t>North-west</w:t>
            </w:r>
          </w:p>
        </w:tc>
        <w:tc>
          <w:tcPr>
            <w:tcW w:type="dxa" w:w="1728"/>
            <w:vAlign w:val="top"/>
          </w:tcPr>
          <w:p>
            <w:r>
              <w:t>Sudevī</w:t>
            </w:r>
          </w:p>
        </w:tc>
        <w:tc>
          <w:tcPr>
            <w:tcW w:type="dxa" w:w="1728"/>
            <w:vAlign w:val="top"/>
          </w:tcPr>
          <w:p>
            <w:r>
              <w:t>Harit-kuñja / Sudevī-sukhada</w:t>
            </w:r>
          </w:p>
        </w:tc>
        <w:tc>
          <w:tcPr>
            <w:tcW w:type="dxa" w:w="1728"/>
            <w:vAlign w:val="top"/>
          </w:tcPr>
          <w:p>
            <w:r>
              <w:t>7.98–99</w:t>
            </w:r>
          </w:p>
        </w:tc>
        <w:tc>
          <w:tcPr>
            <w:tcW w:type="dxa" w:w="1728"/>
            <w:vAlign w:val="top"/>
          </w:tcPr>
          <w:p>
            <w:r>
              <w:t>Green environment; explicitly a dice-play place.</w:t>
            </w:r>
          </w:p>
        </w:tc>
        <w:tc>
          <w:tcPr>
            <w:tcW w:type="dxa" w:w="1728"/>
            <w:vAlign w:val="top"/>
          </w:tcPr>
          <w:p>
            <w:r>
              <w:t>VERIFIED</w:t>
            </w:r>
          </w:p>
        </w:tc>
      </w:tr>
      <w:tr>
        <w:trPr>
          <w:cantSplit/>
        </w:trPr>
        <w:tc>
          <w:tcPr>
            <w:tcW w:type="dxa" w:w="1728"/>
            <w:vAlign w:val="top"/>
          </w:tcPr>
          <w:p>
            <w:r>
              <w:t>Center, in water</w:t>
            </w:r>
          </w:p>
        </w:tc>
        <w:tc>
          <w:tcPr>
            <w:tcW w:type="dxa" w:w="1728"/>
            <w:vAlign w:val="top"/>
          </w:tcPr>
          <w:p>
            <w:r>
              <w:t>Anaṅga-mañjarī</w:t>
            </w:r>
          </w:p>
        </w:tc>
        <w:tc>
          <w:tcPr>
            <w:tcW w:type="dxa" w:w="1728"/>
            <w:vAlign w:val="top"/>
          </w:tcPr>
          <w:p>
            <w:r>
              <w:t>Salila-kamala-sadma</w:t>
            </w:r>
          </w:p>
        </w:tc>
        <w:tc>
          <w:tcPr>
            <w:tcW w:type="dxa" w:w="1728"/>
            <w:vAlign w:val="top"/>
          </w:tcPr>
          <w:p>
            <w:r>
              <w:t>7.100–101</w:t>
            </w:r>
          </w:p>
        </w:tc>
        <w:tc>
          <w:tcPr>
            <w:tcW w:type="dxa" w:w="1728"/>
            <w:vAlign w:val="top"/>
          </w:tcPr>
          <w:p>
            <w:r>
              <w:t>Sixteen-petalled lotus dwelling in the water; bridge on north side.</w:t>
            </w:r>
          </w:p>
        </w:tc>
        <w:tc>
          <w:tcPr>
            <w:tcW w:type="dxa" w:w="1728"/>
            <w:vAlign w:val="top"/>
          </w:tcPr>
          <w:p>
            <w:r>
              <w:t>VERIFIED</w:t>
            </w:r>
          </w:p>
        </w:tc>
      </w:tr>
    </w:tbl>
    <w:p>
      <w:pPr>
        <w:pStyle w:val="Heading1"/>
        <w:spacing w:after="60"/>
      </w:pPr>
      <w:r>
        <w:t>4. Lalitā’s northern complex: internal micro-geography</w:t>
      </w:r>
    </w:p>
    <w:p>
      <w:pPr>
        <w:pStyle w:val="ListBullet"/>
        <w:spacing w:after="60"/>
      </w:pPr>
      <w:r>
        <w:t>Anaṅga-raṅgāmbuja near the northern tīrtha; Lalitānandada is the principal/royal kuñja.</w:t>
      </w:r>
    </w:p>
    <w:p>
      <w:pPr>
        <w:pStyle w:val="ListBullet"/>
        <w:spacing w:after="60"/>
      </w:pPr>
      <w:r>
        <w:t>Vasanta-sukhada — north-west of Lalitā’s internal complex.</w:t>
      </w:r>
    </w:p>
    <w:p>
      <w:pPr>
        <w:pStyle w:val="ListBullet"/>
        <w:spacing w:after="60"/>
      </w:pPr>
      <w:r>
        <w:t>Padma-mandira — south-west; a richly jeweled palace whose imagery itself narrates līlā.</w:t>
      </w:r>
    </w:p>
    <w:p>
      <w:pPr>
        <w:pStyle w:val="ListBullet"/>
        <w:spacing w:after="60"/>
      </w:pPr>
      <w:r>
        <w:t>Hindola-kuṭṭima / Madanāndolana — south-east; GL 7.63 places Rādhā-Kṛṣṇa centrally in an eight-petalled swing arrangement while companions sing and Vṛndā swings Them.</w:t>
      </w:r>
    </w:p>
    <w:p>
      <w:pPr>
        <w:pStyle w:val="ListBullet"/>
        <w:spacing w:after="60"/>
      </w:pPr>
      <w:r>
        <w:t>Mādhavānandada — north-east.</w:t>
      </w:r>
    </w:p>
    <w:p>
      <w:pPr>
        <w:pStyle w:val="ListBullet"/>
        <w:spacing w:after="60"/>
      </w:pPr>
      <w:r>
        <w:t>Sitāmbuja — north; Asitāmbuja — east; Aruṇāmbuja — south; Hemāmbuja — west.</w:t>
      </w:r>
    </w:p>
    <w:p>
      <w:pPr>
        <w:pStyle w:val="Heading1"/>
        <w:spacing w:after="60"/>
      </w:pPr>
      <w:r>
        <w:t>5. Śyāma/Ariṣṭa-kuṇḍa: separate priya-narma-sakhā kuñja system</w:t>
      </w:r>
    </w:p>
    <w:p>
      <w:pPr>
        <w:spacing w:after="60"/>
      </w:pPr>
      <w:r>
        <w:t>GL 7.111–117 turns from the Rādhā-kuṇḍa aṣṭa-sakhī mandala to a second system associated with Kṛṣṇa’s intimate priya-narma-sakhās. Named figures include Subala, Madhumaṅgala, Ujjvala, Arjuna, Gandharva, Vidagdha, Bhṛṅga and Kokila. The sakhā system and the sakhī system are related but must not be conflated.</w:t>
      </w:r>
    </w:p>
    <w:p>
      <w:pPr>
        <w:pStyle w:val="ListBullet"/>
        <w:spacing w:after="60"/>
      </w:pPr>
      <w:r>
        <w:t>Subala’s kuñja is associated with Mānasa-pāvana; early pilgrimage tradition later localizes Mānasa-pāvana north of Śyāma-kuṇḍa.</w:t>
      </w:r>
    </w:p>
    <w:p>
      <w:pPr>
        <w:pStyle w:val="ListBullet"/>
        <w:spacing w:after="60"/>
      </w:pPr>
      <w:r>
        <w:t>Madhumaṅgala’s northern kuñja is accepted by Lalitā; Ujjvala’s north-eastern kuñja is accepted by Viśākhā; the remaining pattern continues correspondingly.</w:t>
      </w:r>
    </w:p>
    <w:p>
      <w:pPr>
        <w:pStyle w:val="Heading1"/>
        <w:spacing w:after="60"/>
      </w:pPr>
      <w:r>
        <w:t>6. Appointment and two-route convergence</w:t>
      </w:r>
    </w:p>
    <w:p>
      <w:pPr>
        <w:spacing w:after="60"/>
        <w:ind w:left="403" w:right="259"/>
      </w:pPr>
      <w:r>
        <w:rPr>
          <w:i/>
        </w:rPr>
        <w:t>dvi-trāḥ kṣepyāḥ sumukhi ghaṭikāś cakṣuṣī mudrayitvā ... āgantavyaṁ mayi karuṇayā chadmanāśu sva-kuṇḍaṁ ...</w:t>
      </w:r>
    </w:p>
    <w:p>
      <w:pPr>
        <w:spacing w:after="60"/>
        <w:ind w:left="403"/>
      </w:pPr>
      <w:r>
        <w:rPr>
          <w:b/>
          <w:sz w:val="18"/>
        </w:rPr>
        <w:t>GL 5.40 (key excerpt)</w:t>
      </w:r>
      <w:r>
        <w:rPr>
          <w:i/>
          <w:sz w:val="18"/>
        </w:rPr>
        <w:t xml:space="preserve"> — VERIFIED Sanskrit; full verse retained in master notes</w:t>
      </w:r>
    </w:p>
    <w:p>
      <w:pPr>
        <w:spacing w:after="60"/>
      </w:pPr>
      <w:r>
        <w:t>Kṛṣṇa asks Rādhā to endure two or three ghaṭikās and to come quickly, “by a pretext” (chadmanā), to “Your own kuṇḍa” (sva-kuṇḍam). This is the principal route-planning anchor: the meeting at Rādhā-kuṇḍa is deliberate, not accidental.</w:t>
      </w:r>
    </w:p>
    <w:tbl>
      <w:tblPr>
        <w:tblStyle w:val="TableGrid"/>
        <w:tblW w:type="auto" w:w="0"/>
        <w:tblLook w:firstColumn="1" w:firstRow="1" w:lastColumn="0" w:lastRow="0" w:noHBand="0" w:noVBand="1" w:val="04A0"/>
      </w:tblPr>
      <w:tblGrid>
        <w:gridCol w:w="2592"/>
        <w:gridCol w:w="2592"/>
        <w:gridCol w:w="2592"/>
        <w:gridCol w:w="2592"/>
      </w:tblGrid>
      <w:tr>
        <w:trPr>
          <w:tblHeader w:val="true"/>
          <w:tblHeader w:val="true"/>
          <w:tblHeader w:val="true"/>
          <w:tblHeader w:val="true"/>
          <w:cantSplit/>
        </w:trPr>
        <w:tc>
          <w:tcPr>
            <w:tcW w:type="dxa" w:w="2592"/>
            <w:shd w:fill="E9EEF5"/>
          </w:tcPr>
          <w:p>
            <w:r>
              <w:t>Stage</w:t>
            </w:r>
          </w:p>
        </w:tc>
        <w:tc>
          <w:tcPr>
            <w:tcW w:type="dxa" w:w="2592"/>
            <w:shd w:fill="E9EEF5"/>
          </w:tcPr>
          <w:p>
            <w:r>
              <w:t>Rādhā’s route</w:t>
            </w:r>
          </w:p>
        </w:tc>
        <w:tc>
          <w:tcPr>
            <w:tcW w:type="dxa" w:w="2592"/>
            <w:shd w:fill="E9EEF5"/>
          </w:tcPr>
          <w:p>
            <w:r>
              <w:t>Kṛṣṇa’s route</w:t>
            </w:r>
          </w:p>
        </w:tc>
        <w:tc>
          <w:tcPr>
            <w:tcW w:type="dxa" w:w="2592"/>
            <w:shd w:fill="E9EEF5"/>
          </w:tcPr>
          <w:p>
            <w:r>
              <w:t>Evidence status</w:t>
            </w:r>
          </w:p>
        </w:tc>
      </w:tr>
      <w:tr>
        <w:trPr>
          <w:cantSplit/>
        </w:trPr>
        <w:tc>
          <w:tcPr>
            <w:tcW w:type="dxa" w:w="2592"/>
            <w:vAlign w:val="top"/>
          </w:tcPr>
          <w:p>
            <w:r>
              <w:t>Appointment</w:t>
            </w:r>
          </w:p>
        </w:tc>
        <w:tc>
          <w:tcPr>
            <w:tcW w:type="dxa" w:w="2592"/>
            <w:vAlign w:val="top"/>
          </w:tcPr>
          <w:p>
            <w:r>
              <w:t>Told to come by a pretext to Her own kuṇḍa.</w:t>
            </w:r>
          </w:p>
        </w:tc>
        <w:tc>
          <w:tcPr>
            <w:tcW w:type="dxa" w:w="2592"/>
            <w:vAlign w:val="top"/>
          </w:tcPr>
          <w:p>
            <w:r>
              <w:t>Kṛṣṇa makes the appointment.</w:t>
            </w:r>
          </w:p>
        </w:tc>
        <w:tc>
          <w:tcPr>
            <w:tcW w:type="dxa" w:w="2592"/>
            <w:vAlign w:val="top"/>
          </w:tcPr>
          <w:p>
            <w:r>
              <w:t>GL 5.40 VERIFIED.</w:t>
            </w:r>
          </w:p>
        </w:tc>
      </w:tr>
      <w:tr>
        <w:trPr>
          <w:cantSplit/>
        </w:trPr>
        <w:tc>
          <w:tcPr>
            <w:tcW w:type="dxa" w:w="2592"/>
            <w:vAlign w:val="top"/>
          </w:tcPr>
          <w:p>
            <w:r>
              <w:t>Public duty / cover</w:t>
            </w:r>
          </w:p>
        </w:tc>
        <w:tc>
          <w:tcPr>
            <w:tcW w:type="dxa" w:w="2592"/>
            <w:vAlign w:val="top"/>
          </w:tcPr>
          <w:p>
            <w:r>
              <w:t>Household supervision; Sūrya-pūjā becomes the socially acceptable outward purpose.</w:t>
            </w:r>
          </w:p>
        </w:tc>
        <w:tc>
          <w:tcPr>
            <w:tcW w:type="dxa" w:w="2592"/>
            <w:vAlign w:val="top"/>
          </w:tcPr>
          <w:p>
            <w:r>
              <w:t>Cowherding with the sakhās; Madhumaṅgala creates a plausible Garga/Sūrya-kuṇḍa errand.</w:t>
            </w:r>
          </w:p>
        </w:tc>
        <w:tc>
          <w:tcPr>
            <w:tcW w:type="dxa" w:w="2592"/>
            <w:vAlign w:val="top"/>
          </w:tcPr>
          <w:p>
            <w:r>
              <w:t>KBh ch. 8 WORKING; Sanskrit loci to verify.</w:t>
            </w:r>
          </w:p>
        </w:tc>
      </w:tr>
      <w:tr>
        <w:trPr>
          <w:cantSplit/>
        </w:trPr>
        <w:tc>
          <w:tcPr>
            <w:tcW w:type="dxa" w:w="2592"/>
            <w:vAlign w:val="top"/>
          </w:tcPr>
          <w:p>
            <w:r>
              <w:t>Preparation</w:t>
            </w:r>
          </w:p>
        </w:tc>
        <w:tc>
          <w:tcPr>
            <w:tcW w:type="dxa" w:w="2592"/>
            <w:vAlign w:val="top"/>
          </w:tcPr>
          <w:p>
            <w:r>
              <w:t>Sakhīs collect pūjā articles and food; Jatilā authorizes the outing.</w:t>
            </w:r>
          </w:p>
        </w:tc>
        <w:tc>
          <w:tcPr>
            <w:tcW w:type="dxa" w:w="2592"/>
            <w:vAlign w:val="top"/>
          </w:tcPr>
          <w:p>
            <w:r>
              <w:t>Cows and boys rest near midday; Kṛṣṇa separates from larger group with Madhumaṅgala.</w:t>
            </w:r>
          </w:p>
        </w:tc>
        <w:tc>
          <w:tcPr>
            <w:tcW w:type="dxa" w:w="2592"/>
            <w:vAlign w:val="top"/>
          </w:tcPr>
          <w:p>
            <w:r>
              <w:t>KBh ch. 8 WORKING.</w:t>
            </w:r>
          </w:p>
        </w:tc>
      </w:tr>
      <w:tr>
        <w:trPr>
          <w:cantSplit/>
        </w:trPr>
        <w:tc>
          <w:tcPr>
            <w:tcW w:type="dxa" w:w="2592"/>
            <w:vAlign w:val="top"/>
          </w:tcPr>
          <w:p>
            <w:r>
              <w:t>Named approach places</w:t>
            </w:r>
          </w:p>
        </w:tc>
        <w:tc>
          <w:tcPr>
            <w:tcW w:type="dxa" w:w="2592"/>
            <w:vAlign w:val="top"/>
          </w:tcPr>
          <w:p>
            <w:r>
              <w:t>Madana-raṇa garden / Sūrya temple; Rādhā entrusts pūjā articles to vanadevīs and proceeds to the forests around Her own pond.</w:t>
            </w:r>
          </w:p>
        </w:tc>
        <w:tc>
          <w:tcPr>
            <w:tcW w:type="dxa" w:w="2592"/>
            <w:vAlign w:val="top"/>
          </w:tcPr>
          <w:p>
            <w:r>
              <w:t>Pramoda/Pramodana-vana is the explicit intermediate forest on Kṛṣṇa’s approach.</w:t>
            </w:r>
          </w:p>
        </w:tc>
        <w:tc>
          <w:tcPr>
            <w:tcW w:type="dxa" w:w="2592"/>
            <w:vAlign w:val="top"/>
          </w:tcPr>
          <w:p>
            <w:r>
              <w:t>KBh ch. 8 WORKING.</w:t>
            </w:r>
          </w:p>
        </w:tc>
      </w:tr>
      <w:tr>
        <w:trPr>
          <w:cantSplit/>
        </w:trPr>
        <w:tc>
          <w:tcPr>
            <w:tcW w:type="dxa" w:w="2592"/>
            <w:vAlign w:val="top"/>
          </w:tcPr>
          <w:p>
            <w:r>
              <w:t>Convergence</w:t>
            </w:r>
          </w:p>
        </w:tc>
        <w:tc>
          <w:tcPr>
            <w:tcW w:type="dxa" w:w="2592"/>
            <w:vAlign w:val="top"/>
          </w:tcPr>
          <w:p>
            <w:r>
              <w:t>Arrives in Rādhā-kuṇḍa forest; Her presence transforms the environment.</w:t>
            </w:r>
          </w:p>
        </w:tc>
        <w:tc>
          <w:tcPr>
            <w:tcW w:type="dxa" w:w="2592"/>
            <w:vAlign w:val="top"/>
          </w:tcPr>
          <w:p>
            <w:r>
              <w:t>GL 7.1: turns by another path; KBh: reaches the golden Rādhā-kuṇḍa environment.</w:t>
            </w:r>
          </w:p>
        </w:tc>
        <w:tc>
          <w:tcPr>
            <w:tcW w:type="dxa" w:w="2592"/>
            <w:vAlign w:val="top"/>
          </w:tcPr>
          <w:p>
            <w:r>
              <w:t>GL VERIFIED + KBh WORKING.</w:t>
            </w:r>
          </w:p>
        </w:tc>
      </w:tr>
      <w:tr>
        <w:trPr>
          <w:cantSplit/>
        </w:trPr>
        <w:tc>
          <w:tcPr>
            <w:tcW w:type="dxa" w:w="2592"/>
            <w:vAlign w:val="top"/>
          </w:tcPr>
          <w:p>
            <w:r>
              <w:t>First sight</w:t>
            </w:r>
          </w:p>
        </w:tc>
        <w:tc>
          <w:tcPr>
            <w:tcW w:type="dxa" w:w="2592"/>
            <w:vAlign w:val="top"/>
          </w:tcPr>
          <w:p>
            <w:r>
              <w:t>GL gives a bakula-lined approach corridor with priya-sahacarīs; Rādhā asks Viśākhā whether the figure ahead is truly Her beloved.</w:t>
            </w:r>
          </w:p>
        </w:tc>
        <w:tc>
          <w:tcPr>
            <w:tcW w:type="dxa" w:w="2592"/>
            <w:vAlign w:val="top"/>
          </w:tcPr>
          <w:p>
            <w:r>
              <w:t>Kṛṣṇa sees Rādhā; mutual recognition follows an interval of aesthetic uncertainty.</w:t>
            </w:r>
          </w:p>
        </w:tc>
        <w:tc>
          <w:tcPr>
            <w:tcW w:type="dxa" w:w="2592"/>
            <w:vAlign w:val="top"/>
          </w:tcPr>
          <w:p>
            <w:r>
              <w:t>GL 8.106–115 VERIFIED in working research; exact quotations to be reinserted at next update.</w:t>
            </w:r>
          </w:p>
        </w:tc>
      </w:tr>
    </w:tbl>
    <w:p>
      <w:pPr>
        <w:pStyle w:val="Heading1"/>
        <w:spacing w:after="60"/>
      </w:pPr>
      <w:r>
        <w:t>7. First meeting and the Aśoka/Vañjula problem</w:t>
      </w:r>
    </w:p>
    <w:p>
      <w:pPr>
        <w:spacing w:after="60"/>
      </w:pPr>
      <w:r>
        <w:t>GL and KBh narrate the same broad midday convergence but do not yet yield a demonstrably identical micro-route. This difference must be preserved, not harmonized by assumption.</w:t>
      </w:r>
    </w:p>
    <w:p>
      <w:pPr>
        <w:pStyle w:val="ListBullet"/>
        <w:spacing w:after="60"/>
      </w:pPr>
      <w:r>
        <w:t>GL 8.106–115: approach along a path between two rows of bakula trees; mutual recognition; Rādhā asks Viśākhā whether the figure is really Kṛṣṇa; ecstasy temporarily leaves both unable to act. Sarga 9 then moves into direct interaction.</w:t>
      </w:r>
    </w:p>
    <w:p>
      <w:pPr>
        <w:pStyle w:val="ListBullet"/>
        <w:spacing w:after="60"/>
      </w:pPr>
      <w:r>
        <w:t>KBh ch. 9: Rādhā seeks a hiding place, moves toward a temple in an Aśoka-kuñja, hides among foliage/branches, Lalitā initially tells Kṛṣṇa that Rādhā went home, Nandīmukhī urges Lalitā to reveal Her location by an eye signal, and Kṛṣṇa then goes to a Vañjula-kuñja where Rādhā is said to be hiding. WORKING English witness; Sanskrit loci pending.</w:t>
      </w:r>
    </w:p>
    <w:p>
      <w:pPr>
        <w:pStyle w:val="ListBullet"/>
        <w:spacing w:after="60"/>
      </w:pPr>
      <w:r>
        <w:t>UNRESOLVED: Aśoka-kuñja and Vañjula-kuñja may be the same immediate hiding complex, adjacent sub-groves, or distinct names in the narrative. The present evidence does not justify equating either with GL’s Madana-sukhada / Viśākhānandada.</w:t>
      </w:r>
    </w:p>
    <w:p>
      <w:pPr>
        <w:pStyle w:val="Heading1"/>
        <w:spacing w:after="60"/>
      </w:pPr>
      <w:r>
        <w:t>8. Six-season service geography in Kṛṣṇa-bhāvanāmṛta Chapter 10</w:t>
      </w:r>
    </w:p>
    <w:p>
      <w:pPr>
        <w:spacing w:after="60"/>
      </w:pPr>
      <w:r>
        <w:t>A major new finding in the working English witness is that Vṛndā assigns the six seasonal goddesses to service zones centered on Rādhā-kuṇḍa and its forests. This may be the conceptual key linking the later chapter-by-chapter seasonal itinerary.</w:t>
      </w:r>
    </w:p>
    <w:tbl>
      <w:tblPr>
        <w:tblStyle w:val="TableGrid"/>
        <w:tblW w:type="auto" w:w="0"/>
        <w:tblLook w:firstColumn="1" w:firstRow="1" w:lastColumn="0" w:lastRow="0" w:noHBand="0" w:noVBand="1" w:val="04A0"/>
      </w:tblPr>
      <w:tblGrid>
        <w:gridCol w:w="2592"/>
        <w:gridCol w:w="2592"/>
        <w:gridCol w:w="2592"/>
        <w:gridCol w:w="2592"/>
      </w:tblGrid>
      <w:tr>
        <w:trPr>
          <w:tblHeader w:val="true"/>
          <w:tblHeader w:val="true"/>
          <w:tblHeader w:val="true"/>
          <w:tblHeader w:val="true"/>
          <w:cantSplit/>
        </w:trPr>
        <w:tc>
          <w:tcPr>
            <w:tcW w:type="dxa" w:w="2592"/>
            <w:shd w:fill="E9EEF5"/>
          </w:tcPr>
          <w:p>
            <w:r>
              <w:t>Season</w:t>
            </w:r>
          </w:p>
        </w:tc>
        <w:tc>
          <w:tcPr>
            <w:tcW w:type="dxa" w:w="2592"/>
            <w:shd w:fill="E9EEF5"/>
          </w:tcPr>
          <w:p>
            <w:r>
              <w:t>Assigned zone in working translation</w:t>
            </w:r>
          </w:p>
        </w:tc>
        <w:tc>
          <w:tcPr>
            <w:tcW w:type="dxa" w:w="2592"/>
            <w:shd w:fill="E9EEF5"/>
          </w:tcPr>
          <w:p>
            <w:r>
              <w:t>Narrative significance</w:t>
            </w:r>
          </w:p>
        </w:tc>
        <w:tc>
          <w:tcPr>
            <w:tcW w:type="dxa" w:w="2592"/>
            <w:shd w:fill="E9EEF5"/>
          </w:tcPr>
          <w:p>
            <w:r>
              <w:t>Status</w:t>
            </w:r>
          </w:p>
        </w:tc>
      </w:tr>
      <w:tr>
        <w:trPr>
          <w:cantSplit/>
        </w:trPr>
        <w:tc>
          <w:tcPr>
            <w:tcW w:type="dxa" w:w="2592"/>
            <w:vAlign w:val="top"/>
          </w:tcPr>
          <w:p>
            <w:r>
              <w:t>Varṣā / rainy season</w:t>
            </w:r>
          </w:p>
        </w:tc>
        <w:tc>
          <w:tcPr>
            <w:tcW w:type="dxa" w:w="2592"/>
            <w:vAlign w:val="top"/>
          </w:tcPr>
          <w:p>
            <w:r>
              <w:t>East of the kuṇḍa</w:t>
            </w:r>
          </w:p>
        </w:tc>
        <w:tc>
          <w:tcPr>
            <w:tcW w:type="dxa" w:w="2592"/>
            <w:vAlign w:val="top"/>
          </w:tcPr>
          <w:p>
            <w:r>
              <w:t>Prepares the rainy-season swing environment.</w:t>
            </w:r>
          </w:p>
        </w:tc>
        <w:tc>
          <w:tcPr>
            <w:tcW w:type="dxa" w:w="2592"/>
            <w:vAlign w:val="top"/>
          </w:tcPr>
          <w:p>
            <w:r>
              <w:t>KBh ch.10 WORKING; Sanskrit verse pending.</w:t>
            </w:r>
          </w:p>
        </w:tc>
      </w:tr>
      <w:tr>
        <w:trPr>
          <w:cantSplit/>
        </w:trPr>
        <w:tc>
          <w:tcPr>
            <w:tcW w:type="dxa" w:w="2592"/>
            <w:vAlign w:val="top"/>
          </w:tcPr>
          <w:p>
            <w:r>
              <w:t>Śarad / autumn</w:t>
            </w:r>
          </w:p>
        </w:tc>
        <w:tc>
          <w:tcPr>
            <w:tcW w:type="dxa" w:w="2592"/>
            <w:vAlign w:val="top"/>
          </w:tcPr>
          <w:p>
            <w:r>
              <w:t>South</w:t>
            </w:r>
          </w:p>
        </w:tc>
        <w:tc>
          <w:tcPr>
            <w:tcW w:type="dxa" w:w="2592"/>
            <w:vAlign w:val="top"/>
          </w:tcPr>
          <w:p>
            <w:r>
              <w:t>Introduces autumnal wandering imagery.</w:t>
            </w:r>
          </w:p>
        </w:tc>
        <w:tc>
          <w:tcPr>
            <w:tcW w:type="dxa" w:w="2592"/>
            <w:vAlign w:val="top"/>
          </w:tcPr>
          <w:p>
            <w:r>
              <w:t>WORKING.</w:t>
            </w:r>
          </w:p>
        </w:tc>
      </w:tr>
      <w:tr>
        <w:trPr>
          <w:cantSplit/>
        </w:trPr>
        <w:tc>
          <w:tcPr>
            <w:tcW w:type="dxa" w:w="2592"/>
            <w:vAlign w:val="top"/>
          </w:tcPr>
          <w:p>
            <w:r>
              <w:t>Hemanta</w:t>
            </w:r>
          </w:p>
        </w:tc>
        <w:tc>
          <w:tcPr>
            <w:tcW w:type="dxa" w:w="2592"/>
            <w:vAlign w:val="top"/>
          </w:tcPr>
          <w:p>
            <w:r>
              <w:t>West</w:t>
            </w:r>
          </w:p>
        </w:tc>
        <w:tc>
          <w:tcPr>
            <w:tcW w:type="dxa" w:w="2592"/>
            <w:vAlign w:val="top"/>
          </w:tcPr>
          <w:p>
            <w:r>
              <w:t>Leads into Hemanta forest sequence.</w:t>
            </w:r>
          </w:p>
        </w:tc>
        <w:tc>
          <w:tcPr>
            <w:tcW w:type="dxa" w:w="2592"/>
            <w:vAlign w:val="top"/>
          </w:tcPr>
          <w:p>
            <w:r>
              <w:t>WORKING.</w:t>
            </w:r>
          </w:p>
        </w:tc>
      </w:tr>
      <w:tr>
        <w:trPr>
          <w:cantSplit/>
        </w:trPr>
        <w:tc>
          <w:tcPr>
            <w:tcW w:type="dxa" w:w="2592"/>
            <w:vAlign w:val="top"/>
          </w:tcPr>
          <w:p>
            <w:r>
              <w:t>Śiśira / winter</w:t>
            </w:r>
          </w:p>
        </w:tc>
        <w:tc>
          <w:tcPr>
            <w:tcW w:type="dxa" w:w="2592"/>
            <w:vAlign w:val="top"/>
          </w:tcPr>
          <w:p>
            <w:r>
              <w:t>North</w:t>
            </w:r>
          </w:p>
        </w:tc>
        <w:tc>
          <w:tcPr>
            <w:tcW w:type="dxa" w:w="2592"/>
            <w:vAlign w:val="top"/>
          </w:tcPr>
          <w:p>
            <w:r>
              <w:t>Leads into winter/Śiśira-sukhada sequence.</w:t>
            </w:r>
          </w:p>
        </w:tc>
        <w:tc>
          <w:tcPr>
            <w:tcW w:type="dxa" w:w="2592"/>
            <w:vAlign w:val="top"/>
          </w:tcPr>
          <w:p>
            <w:r>
              <w:t>WORKING.</w:t>
            </w:r>
          </w:p>
        </w:tc>
      </w:tr>
      <w:tr>
        <w:trPr>
          <w:cantSplit/>
        </w:trPr>
        <w:tc>
          <w:tcPr>
            <w:tcW w:type="dxa" w:w="2592"/>
            <w:vAlign w:val="top"/>
          </w:tcPr>
          <w:p>
            <w:r>
              <w:t>Vasanta / spring</w:t>
            </w:r>
          </w:p>
        </w:tc>
        <w:tc>
          <w:tcPr>
            <w:tcW w:type="dxa" w:w="2592"/>
            <w:vAlign w:val="top"/>
          </w:tcPr>
          <w:p>
            <w:r>
              <w:t>In the trees around the kuṇḍa</w:t>
            </w:r>
          </w:p>
        </w:tc>
        <w:tc>
          <w:tcPr>
            <w:tcW w:type="dxa" w:w="2592"/>
            <w:vAlign w:val="top"/>
          </w:tcPr>
          <w:p>
            <w:r>
              <w:t>Supports spring forest and rasa-sthalī links.</w:t>
            </w:r>
          </w:p>
        </w:tc>
        <w:tc>
          <w:tcPr>
            <w:tcW w:type="dxa" w:w="2592"/>
            <w:vAlign w:val="top"/>
          </w:tcPr>
          <w:p>
            <w:r>
              <w:t>WORKING.</w:t>
            </w:r>
          </w:p>
        </w:tc>
      </w:tr>
      <w:tr>
        <w:trPr>
          <w:cantSplit/>
        </w:trPr>
        <w:tc>
          <w:tcPr>
            <w:tcW w:type="dxa" w:w="2592"/>
            <w:vAlign w:val="top"/>
          </w:tcPr>
          <w:p>
            <w:r>
              <w:t>Nidāgha / summer</w:t>
            </w:r>
          </w:p>
        </w:tc>
        <w:tc>
          <w:tcPr>
            <w:tcW w:type="dxa" w:w="2592"/>
            <w:vAlign w:val="top"/>
          </w:tcPr>
          <w:p>
            <w:r>
              <w:t>Inside the water</w:t>
            </w:r>
          </w:p>
        </w:tc>
        <w:tc>
          <w:tcPr>
            <w:tcW w:type="dxa" w:w="2592"/>
            <w:vAlign w:val="top"/>
          </w:tcPr>
          <w:p>
            <w:r>
              <w:t>Explicitly to make water play successful.</w:t>
            </w:r>
          </w:p>
        </w:tc>
        <w:tc>
          <w:tcPr>
            <w:tcW w:type="dxa" w:w="2592"/>
            <w:vAlign w:val="top"/>
          </w:tcPr>
          <w:p>
            <w:r>
              <w:t>WORKING.</w:t>
            </w:r>
          </w:p>
        </w:tc>
      </w:tr>
    </w:tbl>
    <w:p>
      <w:pPr>
        <w:spacing w:after="60"/>
      </w:pPr>
      <w:r>
        <w:rPr>
          <w:b/>
        </w:rPr>
        <w:t xml:space="preserve">Interpretive caution. </w:t>
      </w:r>
      <w:r>
        <w:t>Do not yet draw these six seasons as six small modern perimeter plots. Chapters 12–13 expand the contemplative movement across broader Vraja/Govardhana landscapes. The safest current model is that Rādhā-kuṇḍa is the organizing hub of an idealized, connected seasonal līlā landscape whose spatial range can extend beyond the immediate modern pond perimeter.</w:t>
      </w:r>
    </w:p>
    <w:p>
      <w:pPr>
        <w:pStyle w:val="Heading1"/>
        <w:spacing w:after="60"/>
      </w:pPr>
      <w:r>
        <w:t>9. KBh midday sequence after the first kuñja: Chapters 11–16</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blHeader w:val="true"/>
          <w:tblHeader w:val="true"/>
          <w:tblHeader w:val="true"/>
          <w:tblHeader w:val="true"/>
          <w:cantSplit/>
        </w:trPr>
        <w:tc>
          <w:tcPr>
            <w:tcW w:type="dxa" w:w="2074"/>
            <w:shd w:fill="E9EEF5"/>
          </w:tcPr>
          <w:p>
            <w:r>
              <w:t>Block</w:t>
            </w:r>
          </w:p>
        </w:tc>
        <w:tc>
          <w:tcPr>
            <w:tcW w:type="dxa" w:w="2074"/>
            <w:shd w:fill="E9EEF5"/>
          </w:tcPr>
          <w:p>
            <w:r>
              <w:t>Place / environment</w:t>
            </w:r>
          </w:p>
        </w:tc>
        <w:tc>
          <w:tcPr>
            <w:tcW w:type="dxa" w:w="2074"/>
            <w:shd w:fill="E9EEF5"/>
          </w:tcPr>
          <w:p>
            <w:r>
              <w:t>Main movements &amp; services</w:t>
            </w:r>
          </w:p>
        </w:tc>
        <w:tc>
          <w:tcPr>
            <w:tcW w:type="dxa" w:w="2074"/>
            <w:shd w:fill="E9EEF5"/>
          </w:tcPr>
          <w:p>
            <w:r>
              <w:t>Continuous-landscape link</w:t>
            </w:r>
          </w:p>
        </w:tc>
        <w:tc>
          <w:tcPr>
            <w:tcW w:type="dxa" w:w="2074"/>
            <w:shd w:fill="E9EEF5"/>
          </w:tcPr>
          <w:p>
            <w:r>
              <w:t>Status</w:t>
            </w:r>
          </w:p>
        </w:tc>
      </w:tr>
      <w:tr>
        <w:trPr>
          <w:cantSplit/>
        </w:trPr>
        <w:tc>
          <w:tcPr>
            <w:tcW w:type="dxa" w:w="2074"/>
            <w:vAlign w:val="top"/>
          </w:tcPr>
          <w:p>
            <w:r>
              <w:t>Ch. 11 — rainy-season swing</w:t>
            </w:r>
          </w:p>
        </w:tc>
        <w:tc>
          <w:tcPr>
            <w:tcW w:type="dxa" w:w="2074"/>
            <w:vAlign w:val="top"/>
          </w:tcPr>
          <w:p>
            <w:r>
              <w:t>Varṣā-harṣa; kadamba forest; multiple swings</w:t>
            </w:r>
          </w:p>
        </w:tc>
        <w:tc>
          <w:tcPr>
            <w:tcW w:type="dxa" w:w="2074"/>
            <w:vAlign w:val="top"/>
          </w:tcPr>
          <w:p>
            <w:r>
              <w:t>Rādhā-Kṛṣṇa leave the kuñja; Vṛndā leads Them on a shaded path; kadamba trees, jeweled platforms and swing structures; maidservants prepare flower seats, sing, shower flowers, serve betel and ornaments. A lotus-shaped swing places the Couple on the whorl, 8 principal sakhīs on petals, 16 secondary sakhīs on outer leaves; Vṛndā/Nandī push.</w:t>
            </w:r>
          </w:p>
        </w:tc>
        <w:tc>
          <w:tcPr>
            <w:tcW w:type="dxa" w:w="2074"/>
            <w:vAlign w:val="top"/>
          </w:tcPr>
          <w:p>
            <w:r>
              <w:t>Connects the static GL swing architecture to a moving rainy-season service scene.</w:t>
            </w:r>
          </w:p>
        </w:tc>
        <w:tc>
          <w:tcPr>
            <w:tcW w:type="dxa" w:w="2074"/>
            <w:vAlign w:val="top"/>
          </w:tcPr>
          <w:p>
            <w:r>
              <w:t>KBh ch.11 WORKING; Sanskrit loci pending.</w:t>
            </w:r>
          </w:p>
        </w:tc>
      </w:tr>
      <w:tr>
        <w:trPr>
          <w:cantSplit/>
        </w:trPr>
        <w:tc>
          <w:tcPr>
            <w:tcW w:type="dxa" w:w="2074"/>
            <w:vAlign w:val="top"/>
          </w:tcPr>
          <w:p>
            <w:r>
              <w:t>Ch. 12 — forest wandering</w:t>
            </w:r>
          </w:p>
        </w:tc>
        <w:tc>
          <w:tcPr>
            <w:tcW w:type="dxa" w:w="2074"/>
            <w:vAlign w:val="top"/>
          </w:tcPr>
          <w:p>
            <w:r>
              <w:t>Autumnal forest; roads, ponds, rivers, hills; wider Vṛndāvana/Yamunā imagery</w:t>
            </w:r>
          </w:p>
        </w:tc>
        <w:tc>
          <w:tcPr>
            <w:tcW w:type="dxa" w:w="2074"/>
            <w:vAlign w:val="top"/>
          </w:tcPr>
          <w:p>
            <w:r>
              <w:t>The Couple wander through every kuñja, road, pond, river and hill; flower ornaments, birds/animals, jeweled abodes, music, fruit/roots/betel service.</w:t>
            </w:r>
          </w:p>
        </w:tc>
        <w:tc>
          <w:tcPr>
            <w:tcW w:type="dxa" w:w="2074"/>
            <w:vAlign w:val="top"/>
          </w:tcPr>
          <w:p>
            <w:r>
              <w:t>Shows that the midday contemplative geography can widen beyond a narrow Rādhā-kuṇḍa perimeter.</w:t>
            </w:r>
          </w:p>
        </w:tc>
        <w:tc>
          <w:tcPr>
            <w:tcW w:type="dxa" w:w="2074"/>
            <w:vAlign w:val="top"/>
          </w:tcPr>
          <w:p>
            <w:r>
              <w:t>WORKING.</w:t>
            </w:r>
          </w:p>
        </w:tc>
      </w:tr>
      <w:tr>
        <w:trPr>
          <w:cantSplit/>
        </w:trPr>
        <w:tc>
          <w:tcPr>
            <w:tcW w:type="dxa" w:w="2074"/>
            <w:vAlign w:val="top"/>
          </w:tcPr>
          <w:p>
            <w:r>
              <w:t>Ch. 13 — Hemanta/Śiśira/Vasanta</w:t>
            </w:r>
          </w:p>
        </w:tc>
        <w:tc>
          <w:tcPr>
            <w:tcW w:type="dxa" w:w="2074"/>
            <w:vAlign w:val="top"/>
          </w:tcPr>
          <w:p>
            <w:r>
              <w:t>Hemanta forest → Śiśira-sukhada → Vasanta-sukhada; Govardhana references; Parāsaulī rasa-sthalī</w:t>
            </w:r>
          </w:p>
        </w:tc>
        <w:tc>
          <w:tcPr>
            <w:tcW w:type="dxa" w:w="2074"/>
            <w:vAlign w:val="top"/>
          </w:tcPr>
          <w:p>
            <w:r>
              <w:t>Seasonal movement, flower decoration, Govardhana imagery; at Parāsaulī, Vṛndā brings honey drink and the party rests on jeweled platforms.</w:t>
            </w:r>
          </w:p>
        </w:tc>
        <w:tc>
          <w:tcPr>
            <w:tcW w:type="dxa" w:w="2074"/>
            <w:vAlign w:val="top"/>
          </w:tcPr>
          <w:p>
            <w:r>
              <w:t>Explicitly links the Rādhā-kuṇḍa-centered seasonal cycle with Govardhana, Mānasi-gaṅgā imagery and Parāsaulī/Candra-sarovara landscape.</w:t>
            </w:r>
          </w:p>
        </w:tc>
        <w:tc>
          <w:tcPr>
            <w:tcW w:type="dxa" w:w="2074"/>
            <w:vAlign w:val="top"/>
          </w:tcPr>
          <w:p>
            <w:r>
              <w:t>WORKING.</w:t>
            </w:r>
          </w:p>
        </w:tc>
      </w:tr>
      <w:tr>
        <w:trPr>
          <w:cantSplit/>
        </w:trPr>
        <w:tc>
          <w:tcPr>
            <w:tcW w:type="dxa" w:w="2074"/>
            <w:vAlign w:val="top"/>
          </w:tcPr>
          <w:p>
            <w:r>
              <w:t>Ch. 14 — summer / water play</w:t>
            </w:r>
          </w:p>
        </w:tc>
        <w:tc>
          <w:tcPr>
            <w:tcW w:type="dxa" w:w="2074"/>
            <w:vAlign w:val="top"/>
          </w:tcPr>
          <w:p>
            <w:r>
              <w:t>Nidāgha-subhaga → water-play kuṇḍa</w:t>
            </w:r>
          </w:p>
        </w:tc>
        <w:tc>
          <w:tcPr>
            <w:tcW w:type="dxa" w:w="2074"/>
            <w:vAlign w:val="top"/>
          </w:tcPr>
          <w:p>
            <w:r>
              <w:t>Water play includes playful water combat, lotus throwing and rhythmic water music; afterward They return to the edge of the kuṇḍa, are served immediately by maidservants, enter a jeweled temple, receive fruit/savories, rest on a flower bed, and are served betel, water, mirrors, dress, fanning and foot massage.</w:t>
            </w:r>
          </w:p>
        </w:tc>
        <w:tc>
          <w:tcPr>
            <w:tcW w:type="dxa" w:w="2074"/>
            <w:vAlign w:val="top"/>
          </w:tcPr>
          <w:p>
            <w:r>
              <w:t>Summer is earlier assigned “inside the water,” making this a likely enactment of the seasonal plan.</w:t>
            </w:r>
          </w:p>
        </w:tc>
        <w:tc>
          <w:tcPr>
            <w:tcW w:type="dxa" w:w="2074"/>
            <w:vAlign w:val="top"/>
          </w:tcPr>
          <w:p>
            <w:r>
              <w:t>WORKING; exact identity of the kuṇḍa in this episode still to verify from Sanskrit.</w:t>
            </w:r>
          </w:p>
        </w:tc>
      </w:tr>
      <w:tr>
        <w:trPr>
          <w:cantSplit/>
        </w:trPr>
        <w:tc>
          <w:tcPr>
            <w:tcW w:type="dxa" w:w="2074"/>
            <w:vAlign w:val="top"/>
          </w:tcPr>
          <w:p>
            <w:r>
              <w:t>Ch. 15 — dice and renewed Sūrya duty</w:t>
            </w:r>
          </w:p>
        </w:tc>
        <w:tc>
          <w:tcPr>
            <w:tcW w:type="dxa" w:w="2074"/>
            <w:vAlign w:val="top"/>
          </w:tcPr>
          <w:p>
            <w:r>
              <w:t>Post-water-play gaming; chapter title includes Sūrya worship</w:t>
            </w:r>
          </w:p>
        </w:tc>
        <w:tc>
          <w:tcPr>
            <w:tcW w:type="dxa" w:w="2074"/>
            <w:vAlign w:val="top"/>
          </w:tcPr>
          <w:p>
            <w:r>
              <w:t>Rādhā proposes a “brain game” after Kṛṣṇa’s victories in swing/water/honey play. Sudevī brings the dice board; Nandīmukhī witnesses for Kṛṣṇa, Vṛndā for Rādhā; Kundalatā manages dice; Madhumaṅgala advises Kṛṣṇa; Lalitā advises Rādhā.</w:t>
            </w:r>
          </w:p>
        </w:tc>
        <w:tc>
          <w:tcPr>
            <w:tcW w:type="dxa" w:w="2074"/>
            <w:vAlign w:val="top"/>
          </w:tcPr>
          <w:p>
            <w:r>
              <w:t>Potentially corresponds to GL 7.98–99 Sudevī’s NW Harit-kuñja as an akṣa-keli/dice place, but the identity is not yet proven.</w:t>
            </w:r>
          </w:p>
        </w:tc>
        <w:tc>
          <w:tcPr>
            <w:tcW w:type="dxa" w:w="2074"/>
            <w:vAlign w:val="top"/>
          </w:tcPr>
          <w:p>
            <w:r>
              <w:t>WORKING; cross-text identity UNRESOLVED.</w:t>
            </w:r>
          </w:p>
        </w:tc>
      </w:tr>
      <w:tr>
        <w:trPr>
          <w:cantSplit/>
        </w:trPr>
        <w:tc>
          <w:tcPr>
            <w:tcW w:type="dxa" w:w="2074"/>
            <w:vAlign w:val="top"/>
          </w:tcPr>
          <w:p>
            <w:r>
              <w:t>Ch. 16 — afternoon separation</w:t>
            </w:r>
          </w:p>
        </w:tc>
        <w:tc>
          <w:tcPr>
            <w:tcW w:type="dxa" w:w="2074"/>
            <w:vAlign w:val="top"/>
          </w:tcPr>
          <w:p>
            <w:r>
              <w:t>Return toward public social worlds</w:t>
            </w:r>
          </w:p>
        </w:tc>
        <w:tc>
          <w:tcPr>
            <w:tcW w:type="dxa" w:w="2074"/>
            <w:vAlign w:val="top"/>
          </w:tcPr>
          <w:p>
            <w:r>
              <w:t>Friends console the Couple with promise of another meeting after sundown; Kṛṣṇa returns toward home/public family life; Rādhā likewise returns under sakhī care, overwhelmed by separation.</w:t>
            </w:r>
          </w:p>
        </w:tc>
        <w:tc>
          <w:tcPr>
            <w:tcW w:type="dxa" w:w="2074"/>
            <w:vAlign w:val="top"/>
          </w:tcPr>
          <w:p>
            <w:r>
              <w:t>Closes the midday confidential circuit and reopens household/cowherd social geography.</w:t>
            </w:r>
          </w:p>
        </w:tc>
        <w:tc>
          <w:tcPr>
            <w:tcW w:type="dxa" w:w="2074"/>
            <w:vAlign w:val="top"/>
          </w:tcPr>
          <w:p>
            <w:r>
              <w:t>WORKING; detailed departure route still to extract.</w:t>
            </w:r>
          </w:p>
        </w:tc>
      </w:tr>
    </w:tbl>
    <w:p>
      <w:pPr>
        <w:pStyle w:val="Heading1"/>
        <w:spacing w:after="60"/>
      </w:pPr>
      <w:r>
        <w:t>10. Service-role ledger already visible in the route</w:t>
      </w:r>
    </w:p>
    <w:p>
      <w:pPr>
        <w:spacing w:after="60"/>
      </w:pPr>
      <w:r>
        <w:rPr>
          <w:b/>
        </w:rPr>
        <w:t xml:space="preserve">Vṛndā-devī: </w:t>
      </w:r>
      <w:r>
        <w:t>Forest organizer; assigns seasonal goddesses; guides pathways; arranges/pushes swings; brings fruits; supervises service environments.</w:t>
      </w:r>
    </w:p>
    <w:p>
      <w:pPr>
        <w:spacing w:after="60"/>
      </w:pPr>
      <w:r>
        <w:rPr>
          <w:b/>
        </w:rPr>
        <w:t xml:space="preserve">Lalitā: </w:t>
      </w:r>
      <w:r>
        <w:t>Protective gatekeeper, strategist and adviser; mediates access to Rādhā; advises Her in dice; central to multiple kuñja arrangements.</w:t>
      </w:r>
    </w:p>
    <w:p>
      <w:pPr>
        <w:spacing w:after="60"/>
      </w:pPr>
      <w:r>
        <w:rPr>
          <w:b/>
        </w:rPr>
        <w:t xml:space="preserve">Viśākhā: </w:t>
      </w:r>
      <w:r>
        <w:t>Confidante who confirms Kṛṣṇa’s identity in GL approach sequence; principal NE sakhī sector.</w:t>
      </w:r>
    </w:p>
    <w:p>
      <w:pPr>
        <w:spacing w:after="60"/>
      </w:pPr>
      <w:r>
        <w:rPr>
          <w:b/>
        </w:rPr>
        <w:t xml:space="preserve">Madhumaṅgala: </w:t>
      </w:r>
      <w:r>
        <w:t>Kṛṣṇa’s confidential companion; creates Garga/Sūrya-kuṇḍa cover; accompanies Kṛṣṇa via Pramoda-vana; advises Him in dice.</w:t>
      </w:r>
    </w:p>
    <w:p>
      <w:pPr>
        <w:spacing w:after="60"/>
      </w:pPr>
      <w:r>
        <w:rPr>
          <w:b/>
        </w:rPr>
        <w:t xml:space="preserve">Nandīmukhī: </w:t>
      </w:r>
      <w:r>
        <w:t>Mediator and witness; helps reveal Rādhā’s hiding place in KBh; witnesses dice for Kṛṣṇa; mediates playful disputes.</w:t>
      </w:r>
    </w:p>
    <w:p>
      <w:pPr>
        <w:spacing w:after="60"/>
      </w:pPr>
      <w:r>
        <w:rPr>
          <w:b/>
        </w:rPr>
        <w:t xml:space="preserve">Kundalatā: </w:t>
      </w:r>
      <w:r>
        <w:t>Social connector and organizer; in KBh conducts dice throwing; appears repeatedly in the logistics of confidential meetings.</w:t>
      </w:r>
    </w:p>
    <w:p>
      <w:pPr>
        <w:spacing w:after="60"/>
      </w:pPr>
      <w:r>
        <w:rPr>
          <w:b/>
        </w:rPr>
        <w:t xml:space="preserve">Sudevī: </w:t>
      </w:r>
      <w:r>
        <w:t>NW sakhī-sector associate in GL; explicitly connected with dice-play geography; in KBh working translation brings the dice board.</w:t>
      </w:r>
    </w:p>
    <w:p>
      <w:pPr>
        <w:spacing w:after="60"/>
      </w:pPr>
      <w:r>
        <w:rPr>
          <w:b/>
        </w:rPr>
        <w:t xml:space="preserve">Mañjarīs / kuñja-dāsīs: </w:t>
      </w:r>
      <w:r>
        <w:t>Prepare seats, flowers, garments, refreshments, betel, water, mirrors, fanning, massage and other intimate service infrastructure; individual identities will be expanded in RK-03 People of the Landscape.</w:t>
      </w:r>
    </w:p>
    <w:p>
      <w:pPr>
        <w:pStyle w:val="Heading1"/>
        <w:spacing w:after="60"/>
      </w:pPr>
      <w:r>
        <w:t>11. Continuous-līlā landscape links to record for future Govardhana maps</w:t>
      </w:r>
    </w:p>
    <w:p>
      <w:pPr>
        <w:pStyle w:val="ListBullet"/>
        <w:spacing w:after="60"/>
      </w:pPr>
      <w:r>
        <w:t>Pramoda / Pramodana-vana — explicit KBh approach point on Kṛṣṇa’s route to Rādhā-kuṇḍa.</w:t>
      </w:r>
    </w:p>
    <w:p>
      <w:pPr>
        <w:pStyle w:val="ListBullet"/>
        <w:spacing w:after="60"/>
      </w:pPr>
      <w:r>
        <w:t>Madana-raṇa garden / Sūrya temple — explicit KBh Rādhā-side transition from public worship to the private kuṇḍa forest.</w:t>
      </w:r>
    </w:p>
    <w:p>
      <w:pPr>
        <w:pStyle w:val="ListBullet"/>
        <w:spacing w:after="60"/>
      </w:pPr>
      <w:r>
        <w:t>Govardhana itself — not merely backdrop; the seasonal route repeatedly invokes Girirāja’s caves, slopes, forests and sacred waters.</w:t>
      </w:r>
    </w:p>
    <w:p>
      <w:pPr>
        <w:pStyle w:val="ListBullet"/>
        <w:spacing w:after="60"/>
      </w:pPr>
      <w:r>
        <w:t>Mānasi-gaṅgā — evoked in the seasonal/Govardhana sequence and already linked to the manifestation narrative as Rādhā’s proposed source of water.</w:t>
      </w:r>
    </w:p>
    <w:p>
      <w:pPr>
        <w:pStyle w:val="ListBullet"/>
        <w:spacing w:after="60"/>
      </w:pPr>
      <w:r>
        <w:t>Parāsaulī / rasa-sthalī / Candra-sarovara — appears in KBh’s spring-season movement; must later be cross-linked to the separate Govardhana itinerary entry rather than duplicated as if independent.</w:t>
      </w:r>
    </w:p>
    <w:p>
      <w:pPr>
        <w:pStyle w:val="ListBullet"/>
        <w:spacing w:after="60"/>
      </w:pPr>
      <w:r>
        <w:t>Yamunā / broader Vṛndāvana — Chapter 12 expands the contemplative route to a wider Vraja landscape, showing that the daily līlā map is not identical with a small modern urban perimeter.</w:t>
      </w:r>
    </w:p>
    <w:p>
      <w:pPr>
        <w:pStyle w:val="Heading1"/>
        <w:spacing w:after="60"/>
      </w:pPr>
      <w:r>
        <w:t>12. Cross-text comparison: what is secure and what must remain separate</w:t>
      </w:r>
    </w:p>
    <w:tbl>
      <w:tblPr>
        <w:tblStyle w:val="TableGrid"/>
        <w:tblW w:type="auto" w:w="0"/>
        <w:tblLook w:firstColumn="1" w:firstRow="1" w:lastColumn="0" w:lastRow="0" w:noHBand="0" w:noVBand="1" w:val="04A0"/>
      </w:tblPr>
      <w:tblGrid>
        <w:gridCol w:w="2592"/>
        <w:gridCol w:w="2592"/>
        <w:gridCol w:w="2592"/>
        <w:gridCol w:w="2592"/>
      </w:tblGrid>
      <w:tr>
        <w:trPr>
          <w:tblHeader w:val="true"/>
          <w:tblHeader w:val="true"/>
          <w:tblHeader w:val="true"/>
          <w:tblHeader w:val="true"/>
          <w:cantSplit/>
        </w:trPr>
        <w:tc>
          <w:tcPr>
            <w:tcW w:type="dxa" w:w="2592"/>
            <w:shd w:fill="E9EEF5"/>
          </w:tcPr>
          <w:p>
            <w:r>
              <w:t>Question</w:t>
            </w:r>
          </w:p>
        </w:tc>
        <w:tc>
          <w:tcPr>
            <w:tcW w:type="dxa" w:w="2592"/>
            <w:shd w:fill="E9EEF5"/>
          </w:tcPr>
          <w:p>
            <w:r>
              <w:t>Govinda-līlāmṛta</w:t>
            </w:r>
          </w:p>
        </w:tc>
        <w:tc>
          <w:tcPr>
            <w:tcW w:type="dxa" w:w="2592"/>
            <w:shd w:fill="E9EEF5"/>
          </w:tcPr>
          <w:p>
            <w:r>
              <w:t>Kṛṣṇa-bhāvanāmṛta</w:t>
            </w:r>
          </w:p>
        </w:tc>
        <w:tc>
          <w:tcPr>
            <w:tcW w:type="dxa" w:w="2592"/>
            <w:shd w:fill="E9EEF5"/>
          </w:tcPr>
          <w:p>
            <w:r>
              <w:t>Current ruling</w:t>
            </w:r>
          </w:p>
        </w:tc>
      </w:tr>
      <w:tr>
        <w:trPr>
          <w:cantSplit/>
        </w:trPr>
        <w:tc>
          <w:tcPr>
            <w:tcW w:type="dxa" w:w="2592"/>
            <w:vAlign w:val="top"/>
          </w:tcPr>
          <w:p>
            <w:r>
              <w:t>Where is the planned meeting?</w:t>
            </w:r>
          </w:p>
        </w:tc>
        <w:tc>
          <w:tcPr>
            <w:tcW w:type="dxa" w:w="2592"/>
            <w:vAlign w:val="top"/>
          </w:tcPr>
          <w:p>
            <w:r>
              <w:t>GL 5.40: Rādhā’s own kuṇḍa; GL 7.1 arrival.</w:t>
            </w:r>
          </w:p>
        </w:tc>
        <w:tc>
          <w:tcPr>
            <w:tcW w:type="dxa" w:w="2592"/>
            <w:vAlign w:val="top"/>
          </w:tcPr>
          <w:p>
            <w:r>
              <w:t>Ch. 8 expands Sūrya/Pramoda approach.</w:t>
            </w:r>
          </w:p>
        </w:tc>
        <w:tc>
          <w:tcPr>
            <w:tcW w:type="dxa" w:w="2592"/>
            <w:vAlign w:val="top"/>
          </w:tcPr>
          <w:p>
            <w:r>
              <w:t>Same broad destination; secure.</w:t>
            </w:r>
          </w:p>
        </w:tc>
      </w:tr>
      <w:tr>
        <w:trPr>
          <w:cantSplit/>
        </w:trPr>
        <w:tc>
          <w:tcPr>
            <w:tcW w:type="dxa" w:w="2592"/>
            <w:vAlign w:val="top"/>
          </w:tcPr>
          <w:p>
            <w:r>
              <w:t>How is first approach dramatized?</w:t>
            </w:r>
          </w:p>
        </w:tc>
        <w:tc>
          <w:tcPr>
            <w:tcW w:type="dxa" w:w="2592"/>
            <w:vAlign w:val="top"/>
          </w:tcPr>
          <w:p>
            <w:r>
              <w:t>Bakula-lined path, mutual recognition, Viśākhā confirmation, ecstatic pause.</w:t>
            </w:r>
          </w:p>
        </w:tc>
        <w:tc>
          <w:tcPr>
            <w:tcW w:type="dxa" w:w="2592"/>
            <w:vAlign w:val="top"/>
          </w:tcPr>
          <w:p>
            <w:r>
              <w:t>Golden/bluish visual field; later Aśoka/Vañjula concealment episode.</w:t>
            </w:r>
          </w:p>
        </w:tc>
        <w:tc>
          <w:tcPr>
            <w:tcW w:type="dxa" w:w="2592"/>
            <w:vAlign w:val="top"/>
          </w:tcPr>
          <w:p>
            <w:r>
              <w:t>Preserve both; do not force exact equivalence.</w:t>
            </w:r>
          </w:p>
        </w:tc>
      </w:tr>
      <w:tr>
        <w:trPr>
          <w:cantSplit/>
        </w:trPr>
        <w:tc>
          <w:tcPr>
            <w:tcW w:type="dxa" w:w="2592"/>
            <w:vAlign w:val="top"/>
          </w:tcPr>
          <w:p>
            <w:r>
              <w:t>Which named first secluded kuñja?</w:t>
            </w:r>
          </w:p>
        </w:tc>
        <w:tc>
          <w:tcPr>
            <w:tcW w:type="dxa" w:w="2592"/>
            <w:vAlign w:val="top"/>
          </w:tcPr>
          <w:p>
            <w:r>
              <w:t>System includes Madana-sukhada/Viśākhānandada in NE, but identity of first meeting grove requires careful route reading.</w:t>
            </w:r>
          </w:p>
        </w:tc>
        <w:tc>
          <w:tcPr>
            <w:tcW w:type="dxa" w:w="2592"/>
            <w:vAlign w:val="top"/>
          </w:tcPr>
          <w:p>
            <w:r>
              <w:t>Aśoka-kuñja then Vañjula-kuñja in current working witness.</w:t>
            </w:r>
          </w:p>
        </w:tc>
        <w:tc>
          <w:tcPr>
            <w:tcW w:type="dxa" w:w="2592"/>
            <w:vAlign w:val="top"/>
          </w:tcPr>
          <w:p>
            <w:r>
              <w:t>Identity unresolved; do not equate with Madana-sukhada.</w:t>
            </w:r>
          </w:p>
        </w:tc>
      </w:tr>
      <w:tr>
        <w:trPr>
          <w:cantSplit/>
        </w:trPr>
        <w:tc>
          <w:tcPr>
            <w:tcW w:type="dxa" w:w="2592"/>
            <w:vAlign w:val="top"/>
          </w:tcPr>
          <w:p>
            <w:r>
              <w:t>Swing geography</w:t>
            </w:r>
          </w:p>
        </w:tc>
        <w:tc>
          <w:tcPr>
            <w:tcW w:type="dxa" w:w="2592"/>
            <w:vAlign w:val="top"/>
          </w:tcPr>
          <w:p>
            <w:r>
              <w:t>GL gives several swing sites and Lalitā’s Hindola-kuṭṭima in detailed map.</w:t>
            </w:r>
          </w:p>
        </w:tc>
        <w:tc>
          <w:tcPr>
            <w:tcW w:type="dxa" w:w="2592"/>
            <w:vAlign w:val="top"/>
          </w:tcPr>
          <w:p>
            <w:r>
              <w:t>Ch. 11 gives Varṣā-harṣa/kadamba swing route and lotus-shaped swing social arrangement.</w:t>
            </w:r>
          </w:p>
        </w:tc>
        <w:tc>
          <w:tcPr>
            <w:tcW w:type="dxa" w:w="2592"/>
            <w:vAlign w:val="top"/>
          </w:tcPr>
          <w:p>
            <w:r>
              <w:t>Likely overlapping nitya-līlā architecture; precise one-to-one mapping still to test.</w:t>
            </w:r>
          </w:p>
        </w:tc>
      </w:tr>
      <w:tr>
        <w:trPr>
          <w:cantSplit/>
        </w:trPr>
        <w:tc>
          <w:tcPr>
            <w:tcW w:type="dxa" w:w="2592"/>
            <w:vAlign w:val="top"/>
          </w:tcPr>
          <w:p>
            <w:r>
              <w:t>Dice geography</w:t>
            </w:r>
          </w:p>
        </w:tc>
        <w:tc>
          <w:tcPr>
            <w:tcW w:type="dxa" w:w="2592"/>
            <w:vAlign w:val="top"/>
          </w:tcPr>
          <w:p>
            <w:r>
              <w:t>GL 7.98–99 explicitly associates Sudevī’s NW green kuñja with akṣa-keli.</w:t>
            </w:r>
          </w:p>
        </w:tc>
        <w:tc>
          <w:tcPr>
            <w:tcW w:type="dxa" w:w="2592"/>
            <w:vAlign w:val="top"/>
          </w:tcPr>
          <w:p>
            <w:r>
              <w:t>Ch. 15: Sudevī brings dice board; detailed participants given.</w:t>
            </w:r>
          </w:p>
        </w:tc>
        <w:tc>
          <w:tcPr>
            <w:tcW w:type="dxa" w:w="2592"/>
            <w:vAlign w:val="top"/>
          </w:tcPr>
          <w:p>
            <w:r>
              <w:t>Strong thematic correspondence; location identity not yet proven.</w:t>
            </w:r>
          </w:p>
        </w:tc>
      </w:tr>
      <w:tr>
        <w:trPr>
          <w:cantSplit/>
        </w:trPr>
        <w:tc>
          <w:tcPr>
            <w:tcW w:type="dxa" w:w="2592"/>
            <w:vAlign w:val="top"/>
          </w:tcPr>
          <w:p>
            <w:r>
              <w:t>Water play</w:t>
            </w:r>
          </w:p>
        </w:tc>
        <w:tc>
          <w:tcPr>
            <w:tcW w:type="dxa" w:w="2592"/>
            <w:vAlign w:val="top"/>
          </w:tcPr>
          <w:p>
            <w:r>
              <w:t>GL static architecture supports bathing/water environments; route sequence still to compare in detail.</w:t>
            </w:r>
          </w:p>
        </w:tc>
        <w:tc>
          <w:tcPr>
            <w:tcW w:type="dxa" w:w="2592"/>
            <w:vAlign w:val="top"/>
          </w:tcPr>
          <w:p>
            <w:r>
              <w:t>Ch. 14 gives extensive water-play and post-bath service.</w:t>
            </w:r>
          </w:p>
        </w:tc>
        <w:tc>
          <w:tcPr>
            <w:tcW w:type="dxa" w:w="2592"/>
            <w:vAlign w:val="top"/>
          </w:tcPr>
          <w:p>
            <w:r>
              <w:t>Need exact Sanskrit locus and exact kuṇḍa identification before final mapping.</w:t>
            </w:r>
          </w:p>
        </w:tc>
      </w:tr>
    </w:tbl>
    <w:p>
      <w:pPr>
        <w:pStyle w:val="Heading1"/>
        <w:spacing w:after="60"/>
      </w:pPr>
      <w:r>
        <w:t>13. Open questions that must be resolved before RK-02 becomes authoritative v1.0</w:t>
      </w:r>
    </w:p>
    <w:p>
      <w:pPr>
        <w:pStyle w:val="ListBullet"/>
        <w:spacing w:after="60"/>
      </w:pPr>
      <w:r>
        <w:t>Recover exact Sanskrit verse numbers in KBh for the Chapter 10 six-season assignment around Rādhā-kuṇḍa.</w:t>
      </w:r>
    </w:p>
    <w:p>
      <w:pPr>
        <w:pStyle w:val="ListBullet"/>
        <w:spacing w:after="60"/>
      </w:pPr>
      <w:r>
        <w:t>Recover exact Sanskrit loci for KBh Chapter 11 Varṣā-harṣa, swing structures, and lotus-swing social arrangement.</w:t>
      </w:r>
    </w:p>
    <w:p>
      <w:pPr>
        <w:pStyle w:val="ListBullet"/>
        <w:spacing w:after="60"/>
      </w:pPr>
      <w:r>
        <w:t>Determine whether KBh Chapter 14 explicitly names Rādhā-kuṇḍa, Śyāma-kuṇḍa, both, or uses a more general saraḥ/kuṇḍa designation during water play.</w:t>
      </w:r>
    </w:p>
    <w:p>
      <w:pPr>
        <w:pStyle w:val="ListBullet"/>
        <w:spacing w:after="60"/>
      </w:pPr>
      <w:r>
        <w:t>Test whether KBh Chapter 15 dice venue is explicitly localized and whether it can be identified with GL 7.98–99 Sudevī-sukhada / Harit-kuñja.</w:t>
      </w:r>
    </w:p>
    <w:p>
      <w:pPr>
        <w:pStyle w:val="ListBullet"/>
        <w:spacing w:after="60"/>
      </w:pPr>
      <w:r>
        <w:t>Resolve the Aśoka-kuñja / Vañjula-kuñja relationship from the Sanskrit and commentary.</w:t>
      </w:r>
    </w:p>
    <w:p>
      <w:pPr>
        <w:pStyle w:val="ListBullet"/>
        <w:spacing w:after="60"/>
      </w:pPr>
      <w:r>
        <w:t>Extract the precise departure route in KBh Chapter 16 and the corresponding GL later-midday/afternoon route.</w:t>
      </w:r>
    </w:p>
    <w:p>
      <w:pPr>
        <w:pStyle w:val="ListBullet"/>
        <w:spacing w:after="60"/>
      </w:pPr>
      <w:r>
        <w:t>Separate Rādhā-kuṇḍa-centered eternal seasonal zones from broader Govardhana/Vṛndāvana route expansions in Chapters 12–13.</w:t>
      </w:r>
    </w:p>
    <w:p>
      <w:pPr>
        <w:pStyle w:val="ListBullet"/>
        <w:spacing w:after="60"/>
      </w:pPr>
      <w:r>
        <w:t>Do not map any eternal-līlā grove to a present property, ghāṭ, temple or tree without separate B/C/D evidence.</w:t>
      </w:r>
    </w:p>
    <w:p>
      <w:pPr>
        <w:pStyle w:val="Heading1"/>
        <w:spacing w:after="60"/>
      </w:pPr>
      <w:r>
        <w:t>14. How this ledger will feed the final Rādhā-kuṇḍa chapter</w:t>
      </w:r>
    </w:p>
    <w:p>
      <w:pPr>
        <w:spacing w:after="60"/>
      </w:pPr>
      <w:r>
        <w:t>The future polished chapter should not reproduce this ledger mechanically. It will synthesize the evidence into readable narrative while preserving footnotes/source boxes and sending the reader to the primary-source anthology for full quotations. The following information must survive synthesis:</w:t>
      </w:r>
    </w:p>
    <w:p>
      <w:pPr>
        <w:pStyle w:val="ListBullet"/>
        <w:spacing w:after="60"/>
      </w:pPr>
      <w:r>
        <w:t>time of day and social pretexts;</w:t>
      </w:r>
    </w:p>
    <w:p>
      <w:pPr>
        <w:pStyle w:val="ListBullet"/>
        <w:spacing w:after="60"/>
      </w:pPr>
      <w:r>
        <w:t>Rādhā’s route and Kṛṣṇa’s route kept distinct until convergence;</w:t>
      </w:r>
    </w:p>
    <w:p>
      <w:pPr>
        <w:pStyle w:val="ListBullet"/>
        <w:spacing w:after="60"/>
      </w:pPr>
      <w:r>
        <w:t>every named forest/kuñja/path and its textual status;</w:t>
      </w:r>
    </w:p>
    <w:p>
      <w:pPr>
        <w:pStyle w:val="ListBullet"/>
        <w:spacing w:after="60"/>
      </w:pPr>
      <w:r>
        <w:t>the aṣṭa-sakhī and sakhā mandalas;</w:t>
      </w:r>
    </w:p>
    <w:p>
      <w:pPr>
        <w:pStyle w:val="ListBullet"/>
        <w:spacing w:after="60"/>
      </w:pPr>
      <w:r>
        <w:t>service roles of sakhīs, sakhās, mañjarīs and Vṛndā;</w:t>
      </w:r>
    </w:p>
    <w:p>
      <w:pPr>
        <w:pStyle w:val="ListBullet"/>
        <w:spacing w:after="60"/>
      </w:pPr>
      <w:r>
        <w:t>the six-season conceptual map;</w:t>
      </w:r>
    </w:p>
    <w:p>
      <w:pPr>
        <w:pStyle w:val="ListBullet"/>
        <w:spacing w:after="60"/>
      </w:pPr>
      <w:r>
        <w:t>movement from meeting → swing → seasonal wandering → water play → dice → separation;</w:t>
      </w:r>
    </w:p>
    <w:p>
      <w:pPr>
        <w:pStyle w:val="ListBullet"/>
        <w:spacing w:after="60"/>
      </w:pPr>
      <w:r>
        <w:t>connections to Pramoda-vana, Govardhana, Mānasi-gaṅgā, Parāsaulī/Candra-sarovara and wider Vraja;</w:t>
      </w:r>
    </w:p>
    <w:p>
      <w:pPr>
        <w:pStyle w:val="ListBullet"/>
        <w:spacing w:after="60"/>
      </w:pPr>
      <w:r>
        <w:t>all unresolved identities and modern-localization cautions.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Govardhana Pilgrimage • RK-02 Nitya-līlā &amp; Sacred Geography • Research Ledger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