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3"/>
        </w:rPr>
        <w:t>RK-03 — People of the Rādhā-kuṇḍa Landscape</w:t>
      </w:r>
    </w:p>
    <w:p>
      <w:pPr>
        <w:jc w:val="center"/>
      </w:pPr>
      <w:r>
        <w:rPr>
          <w:i/>
          <w:sz w:val="21"/>
        </w:rPr>
        <w:t>Aṣṭa-sakhī Administration Checkpoint • Research Ledger v0.1 • 18 Aug 2026</w:t>
      </w:r>
    </w:p>
    <w:p>
      <w:r>
        <w:rPr>
          <w:b/>
        </w:rPr>
        <w:t xml:space="preserve">Purpose. </w:t>
      </w:r>
      <w:r>
        <w:t>This specialist ledger preserves the social and service architecture of Rādhā-kuṇḍa before the polished guide chapter is written. Its organizing question is not merely 'Who are these associates?' but: what authority, service, relationship, subordinate network, and Rādhā-kuṇḍa-specific function does each person possess? This v0.1 checkpoint records the first completed block: the aṣṭa-sakhīs.</w:t>
      </w:r>
    </w:p>
    <w:p>
      <w:r>
        <w:rPr>
          <w:b/>
        </w:rPr>
        <w:t xml:space="preserve">Non-loss rule. </w:t>
      </w:r>
      <w:r>
        <w:t>The final guide must be drafted from this ledger and the other RK specialist documents, not reconstructed from conversation memory. Important Sanskrit is retained here with exact verse loci, and any interpretive connection between a person's service identity and a Rādhā-kuṇḍa sector is labeled as interpretation unless the source explicitly makes the equation.</w:t>
      </w:r>
    </w:p>
    <w:p>
      <w:pPr>
        <w:pStyle w:val="Heading1"/>
        <w:keepNext/>
      </w:pPr>
      <w:r>
        <w:t>1. Principal source and source-critical method</w:t>
      </w:r>
    </w:p>
    <w:p>
      <w:r>
        <w:t>The foundational source for this research block is Rūpa Gosvāmī's Rādhā-Kṛṣṇa-gaṇoddeśa-dīpikā. The project uses the searchable Sanskrit/English edition for discovery and verse control while keeping its editorial caution in view.</w:t>
      </w:r>
    </w:p>
    <w:p>
      <w:pPr>
        <w:spacing w:after="20"/>
        <w:ind w:left="403" w:right="259"/>
      </w:pPr>
      <w:r>
        <w:rPr>
          <w:i/>
          <w:sz w:val="18"/>
        </w:rPr>
        <w:t>ye sūtritāḥ satā ratyā prasiddhāḥ śāstra-lokayoḥ / vyākriyante parīvārās te vṛndāvana-nāthayoḥ ||3||</w:t>
        <w:br/>
        <w:t>mathurā-maṇḍale loke grantheṣu vividheṣu ca / purāṇe cāgamādau ca tad-bhakteṣu ca sādhuṣu ||4||</w:t>
        <w:br/>
        <w:t>te samāsād vilikhyante sva-suhṛt-parituṣṭaye / ānupūrvī-vidhānena rati-prathita-vartmanaḥ ||5||</w:t>
      </w:r>
    </w:p>
    <w:p>
      <w:pPr>
        <w:spacing w:after="20"/>
        <w:ind w:left="403" w:right="259"/>
      </w:pPr>
      <w:r>
        <w:rPr>
          <w:sz w:val="18"/>
        </w:rPr>
        <w:t>Translation: Rūpa says he is systematically and concisely describing the associates of the Lord and Lady of Vṛndāvana from information known in Mathurā-maṇḍala, in various scriptures including Purāṇas and Āgamas, and among devotees and sādhus.</w:t>
      </w:r>
    </w:p>
    <w:p>
      <w:pPr>
        <w:spacing w:after="60"/>
        <w:ind w:left="403"/>
      </w:pPr>
      <w:r>
        <w:rPr>
          <w:b/>
          <w:sz w:val="16"/>
        </w:rPr>
        <w:t>Rādhā-Kṛṣṇa-gaṇoddeśa-dīpikā, Bṛhad-bhāga 3–5</w:t>
      </w:r>
      <w:r>
        <w:rPr>
          <w:i/>
          <w:sz w:val="16"/>
        </w:rPr>
        <w:t xml:space="preserve"> — Primary Gosvāmī source that itself acknowledges multiple streams of inherited material</w:t>
      </w:r>
    </w:p>
    <w:p>
      <w:r>
        <w:t>Methodological consequence: Gaṇoddeśa-dīpikā is A-level Gosvāmī evidence for the social system it records, but we should not pretend every individual datum originated in a single earlier scripture. Rūpa presents himself as organizing a received Vraja corpus.</w:t>
      </w:r>
    </w:p>
    <w:p>
      <w:pPr>
        <w:pStyle w:val="Heading1"/>
        <w:keepNext/>
      </w:pPr>
      <w:r>
        <w:t>2. Social hierarchy of the principal sakhīs</w:t>
      </w:r>
    </w:p>
    <w:p>
      <w:pPr>
        <w:spacing w:after="20"/>
        <w:ind w:left="403" w:right="259"/>
      </w:pPr>
      <w:r>
        <w:rPr>
          <w:i/>
          <w:sz w:val="18"/>
        </w:rPr>
        <w:t>samājaḥ parama-preṣṭha-sakhīnāṁ prathamo mataḥ / variṣṭhaś ca varaś ceti sa samanvaya-yugma-bhāk ||76||</w:t>
      </w:r>
    </w:p>
    <w:p>
      <w:pPr>
        <w:spacing w:after="20"/>
        <w:ind w:left="403" w:right="259"/>
      </w:pPr>
      <w:r>
        <w:rPr>
          <w:sz w:val="18"/>
        </w:rPr>
        <w:t>Translation: The first assembly is the group of the supremely beloved sakhīs; it contains two divisions, the variṣṭha and the vara.</w:t>
      </w:r>
    </w:p>
    <w:p>
      <w:pPr>
        <w:spacing w:after="60"/>
        <w:ind w:left="403"/>
      </w:pPr>
      <w:r>
        <w:rPr>
          <w:b/>
          <w:sz w:val="16"/>
        </w:rPr>
        <w:t>Gaṇoddeśa-dīpikā 76</w:t>
      </w:r>
      <w:r>
        <w:rPr>
          <w:i/>
          <w:sz w:val="16"/>
        </w:rPr>
        <w:t xml:space="preserve"> — VERIFIED</w:t>
      </w:r>
    </w:p>
    <w:p>
      <w:pPr>
        <w:spacing w:after="20"/>
        <w:ind w:left="403" w:right="259"/>
      </w:pPr>
      <w:r>
        <w:rPr>
          <w:i/>
          <w:sz w:val="18"/>
        </w:rPr>
        <w:t>variṣṭhaḥ sarvataḥ khyātaḥ sadā sacivatāṁ gataḥ / tayor evāsamordhvo vā nāsau premnaḥ samāśrayaḥ ||77||</w:t>
      </w:r>
    </w:p>
    <w:p>
      <w:pPr>
        <w:spacing w:after="20"/>
        <w:ind w:left="403" w:right="259"/>
      </w:pPr>
      <w:r>
        <w:rPr>
          <w:sz w:val="18"/>
        </w:rPr>
        <w:t>Translation: The variṣṭha sakhīs are renowned everywhere and continually act as confidential assistants to the Divine Couple; no one equals or exceeds them in their love.</w:t>
      </w:r>
    </w:p>
    <w:p>
      <w:pPr>
        <w:spacing w:after="60"/>
        <w:ind w:left="403"/>
      </w:pPr>
      <w:r>
        <w:rPr>
          <w:b/>
          <w:sz w:val="16"/>
        </w:rPr>
        <w:t>Gaṇoddeśa-dīpikā 77</w:t>
      </w:r>
      <w:r>
        <w:rPr>
          <w:i/>
          <w:sz w:val="16"/>
        </w:rPr>
        <w:t xml:space="preserve"> — VERIFIED</w:t>
      </w:r>
    </w:p>
    <w:p>
      <w:pPr>
        <w:spacing w:after="20"/>
        <w:ind w:left="403" w:right="259"/>
      </w:pPr>
      <w:r>
        <w:rPr>
          <w:i/>
          <w:sz w:val="18"/>
        </w:rPr>
        <w:t>lalitā ca viśākhā ca citrā campakavallikā / tuṅgavidyendulekhā ca raṅgadevī sudevikā ||79||</w:t>
      </w:r>
    </w:p>
    <w:p>
      <w:pPr>
        <w:spacing w:after="20"/>
        <w:ind w:left="403" w:right="259"/>
      </w:pPr>
      <w:r>
        <w:rPr>
          <w:sz w:val="18"/>
        </w:rPr>
        <w:t>Translation: The eight are Lalitā, Viśākhā, Citrā, Campakalatā, Tuṅgavidyā, Indulekhā, Raṅgadevī and Sudevī.</w:t>
      </w:r>
    </w:p>
    <w:p>
      <w:pPr>
        <w:spacing w:after="60"/>
        <w:ind w:left="403"/>
      </w:pPr>
      <w:r>
        <w:rPr>
          <w:b/>
          <w:sz w:val="16"/>
        </w:rPr>
        <w:t>Gaṇoddeśa-dīpikā 79</w:t>
      </w:r>
      <w:r>
        <w:rPr>
          <w:i/>
          <w:sz w:val="16"/>
        </w:rPr>
        <w:t xml:space="preserve"> — VERIFIED</w:t>
      </w:r>
    </w:p>
    <w:p>
      <w:r>
        <w:t>For the Rādhā-kuṇḍa guide this means that the eight directional kuñjas should not be presented merely as eight memorial names. They represent the geographic expression of eight senior service authorities.</w:t>
      </w:r>
    </w:p>
    <w:p>
      <w:pPr>
        <w:pStyle w:val="Heading1"/>
        <w:keepNext/>
      </w:pPr>
      <w:r>
        <w:t>3. General service charter of the sakhīs — GD 123–127</w:t>
      </w:r>
    </w:p>
    <w:p>
      <w:pPr>
        <w:spacing w:after="20"/>
        <w:ind w:left="403" w:right="259"/>
      </w:pPr>
      <w:r>
        <w:rPr>
          <w:i/>
          <w:sz w:val="18"/>
        </w:rPr>
        <w:t>veśaḥ priya-vayasyāyā guru-paty-ādi-vañcanam / hariṇā prema-kalahe tasyā evānuyāyitā ||123||</w:t>
      </w:r>
    </w:p>
    <w:p>
      <w:pPr>
        <w:spacing w:after="20"/>
        <w:ind w:left="403" w:right="259"/>
      </w:pPr>
      <w:r>
        <w:rPr>
          <w:sz w:val="18"/>
        </w:rPr>
        <w:t>Translation: They arrange Rādhā's dress and ornaments, circumvent elders/husband/in-laws when necessary, and take Rādhā's side in loving quarrels with Hari.</w:t>
      </w:r>
    </w:p>
    <w:p>
      <w:pPr>
        <w:spacing w:after="60"/>
        <w:ind w:left="403"/>
      </w:pPr>
      <w:r>
        <w:rPr>
          <w:b/>
          <w:sz w:val="16"/>
        </w:rPr>
        <w:t>Gaṇoddeśa-dīpikā 123</w:t>
      </w:r>
      <w:r>
        <w:rPr>
          <w:i/>
          <w:sz w:val="16"/>
        </w:rPr>
        <w:t xml:space="preserve"> — VERIFIED</w:t>
      </w:r>
    </w:p>
    <w:p>
      <w:pPr>
        <w:spacing w:after="20"/>
        <w:ind w:left="403" w:right="259"/>
      </w:pPr>
      <w:r>
        <w:rPr>
          <w:i/>
          <w:sz w:val="18"/>
        </w:rPr>
        <w:t>abhisāre sahāyatvam annādi-pariveśanam / āsvādanaṁ saha-krīḍā rahasya-parigopanam ||124||</w:t>
      </w:r>
    </w:p>
    <w:p>
      <w:pPr>
        <w:spacing w:after="20"/>
        <w:ind w:left="403" w:right="259"/>
      </w:pPr>
      <w:r>
        <w:rPr>
          <w:sz w:val="18"/>
        </w:rPr>
        <w:t>Translation: They assist in abhisāra to the appointed meeting place, serve food, relish the Couple's pastimes and keep Their secrets concealed.</w:t>
      </w:r>
    </w:p>
    <w:p>
      <w:pPr>
        <w:spacing w:after="60"/>
        <w:ind w:left="403"/>
      </w:pPr>
      <w:r>
        <w:rPr>
          <w:b/>
          <w:sz w:val="16"/>
        </w:rPr>
        <w:t>Gaṇoddeśa-dīpikā 124</w:t>
      </w:r>
      <w:r>
        <w:rPr>
          <w:i/>
          <w:sz w:val="16"/>
        </w:rPr>
        <w:t xml:space="preserve"> — VERIFIED</w:t>
      </w:r>
    </w:p>
    <w:p>
      <w:pPr>
        <w:spacing w:after="20"/>
        <w:ind w:left="403" w:right="259"/>
      </w:pPr>
      <w:r>
        <w:rPr>
          <w:i/>
          <w:sz w:val="18"/>
        </w:rPr>
        <w:t>pavitra-citta-cāturyaṁ paricaryā yathocitam / utkarṣa-mlānikāritvaṁ svapakṣa-pratipakṣayoḥ ||125||</w:t>
      </w:r>
    </w:p>
    <w:p>
      <w:pPr>
        <w:spacing w:after="20"/>
        <w:ind w:left="403" w:right="259"/>
      </w:pPr>
      <w:r>
        <w:rPr>
          <w:sz w:val="18"/>
        </w:rPr>
        <w:t>Translation: With pure-hearted cleverness they render whatever service is appropriate to the moment, promoting their own party and checking the opposing party.</w:t>
      </w:r>
    </w:p>
    <w:p>
      <w:pPr>
        <w:spacing w:after="60"/>
        <w:ind w:left="403"/>
      </w:pPr>
      <w:r>
        <w:rPr>
          <w:b/>
          <w:sz w:val="16"/>
        </w:rPr>
        <w:t>Gaṇoddeśa-dīpikā 125</w:t>
      </w:r>
      <w:r>
        <w:rPr>
          <w:i/>
          <w:sz w:val="16"/>
        </w:rPr>
        <w:t xml:space="preserve"> — VERIFIED</w:t>
      </w:r>
    </w:p>
    <w:p>
      <w:pPr>
        <w:spacing w:after="20"/>
        <w:ind w:left="403" w:right="259"/>
      </w:pPr>
      <w:r>
        <w:rPr>
          <w:i/>
          <w:sz w:val="18"/>
        </w:rPr>
        <w:t>tauryatrika-kalollāsair ubhayoḥ paritoṣaṇam / avakāśocitācāra-sevā-prārthana-bhāṣaṇam ||126||</w:t>
      </w:r>
    </w:p>
    <w:p>
      <w:pPr>
        <w:spacing w:after="20"/>
        <w:ind w:left="403" w:right="259"/>
      </w:pPr>
      <w:r>
        <w:rPr>
          <w:sz w:val="18"/>
        </w:rPr>
        <w:t>Translation: They please the Couple with song, instrumental music and dance, and know how to behave, request service and speak according to circumstance.</w:t>
      </w:r>
    </w:p>
    <w:p>
      <w:pPr>
        <w:spacing w:after="60"/>
        <w:ind w:left="403"/>
      </w:pPr>
      <w:r>
        <w:rPr>
          <w:b/>
          <w:sz w:val="16"/>
        </w:rPr>
        <w:t>Gaṇoddeśa-dīpikā 126</w:t>
      </w:r>
      <w:r>
        <w:rPr>
          <w:i/>
          <w:sz w:val="16"/>
        </w:rPr>
        <w:t xml:space="preserve"> — VERIFIED</w:t>
      </w:r>
    </w:p>
    <w:p>
      <w:pPr>
        <w:spacing w:after="20"/>
        <w:ind w:left="403" w:right="259"/>
      </w:pPr>
      <w:r>
        <w:rPr>
          <w:i/>
          <w:sz w:val="18"/>
        </w:rPr>
        <w:t>ityādi suṣṭhu bhūyiṣṭhaṁ jñeyam āsāṁ vicakṣaṇaiḥ / sarvā evākhilaṁ karma jānanti kurvate 'pi ca ||127||</w:t>
      </w:r>
    </w:p>
    <w:p>
      <w:pPr>
        <w:spacing w:after="20"/>
        <w:ind w:left="403" w:right="259"/>
      </w:pPr>
      <w:r>
        <w:rPr>
          <w:sz w:val="18"/>
        </w:rPr>
        <w:t>Translation: Their activities are innumerable; in essence, they know every service and do whatever the moment requires.</w:t>
      </w:r>
    </w:p>
    <w:p>
      <w:pPr>
        <w:spacing w:after="60"/>
        <w:ind w:left="403"/>
      </w:pPr>
      <w:r>
        <w:rPr>
          <w:b/>
          <w:sz w:val="16"/>
        </w:rPr>
        <w:t>Gaṇoddeśa-dīpikā 127</w:t>
      </w:r>
      <w:r>
        <w:rPr>
          <w:i/>
          <w:sz w:val="16"/>
        </w:rPr>
        <w:t xml:space="preserve"> — VERIFIED</w:t>
      </w:r>
    </w:p>
    <w:p>
      <w:r>
        <w:rPr>
          <w:b/>
        </w:rPr>
        <w:t xml:space="preserve">Working definition for the guide. </w:t>
      </w:r>
      <w:r>
        <w:t>The aṣṭa-sakhīs function as messengers, strategists, decorators, cooks, performers, confidantes, keepers of secrecy, social-cover managers and rasa administrators. Their directional sectors around Rādhā-kuṇḍa should be read through this sevā framework.</w:t>
      </w:r>
    </w:p>
    <w:p>
      <w:pPr>
        <w:pStyle w:val="Heading1"/>
        <w:keepNext/>
      </w:pPr>
      <w:r>
        <w:t>4. Aṣṭa-sakhī service map around Rādhā-kuṇḍa</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blHeader w:val="true"/>
          <w:tblHeader w:val="true"/>
          <w:tblHeader w:val="true"/>
          <w:tblHeader w:val="true"/>
          <w:tblHeader w:val="true"/>
        </w:trPr>
        <w:tc>
          <w:tcPr>
            <w:tcW w:type="dxa" w:w="1742"/>
            <w:vAlign w:val="top"/>
            <w:shd w:fill="E9EEF5"/>
          </w:tcPr>
          <w:p>
            <w:pPr>
              <w:spacing w:after="0"/>
            </w:pPr>
            <w:r/>
            <w:r>
              <w:rPr>
                <w:b/>
                <w:sz w:val="17"/>
              </w:rPr>
              <w:t>Direction</w:t>
            </w:r>
          </w:p>
        </w:tc>
        <w:tc>
          <w:tcPr>
            <w:tcW w:type="dxa" w:w="1742"/>
            <w:vAlign w:val="top"/>
            <w:shd w:fill="E9EEF5"/>
          </w:tcPr>
          <w:p>
            <w:pPr>
              <w:spacing w:after="0"/>
            </w:pPr>
            <w:r/>
            <w:r>
              <w:rPr>
                <w:b/>
                <w:sz w:val="17"/>
              </w:rPr>
              <w:t>Sakhī</w:t>
            </w:r>
          </w:p>
        </w:tc>
        <w:tc>
          <w:tcPr>
            <w:tcW w:type="dxa" w:w="1742"/>
            <w:vAlign w:val="top"/>
            <w:shd w:fill="E9EEF5"/>
          </w:tcPr>
          <w:p>
            <w:pPr>
              <w:spacing w:after="0"/>
            </w:pPr>
            <w:r/>
            <w:r>
              <w:rPr>
                <w:b/>
                <w:sz w:val="17"/>
              </w:rPr>
              <w:t>GL kuñja identity</w:t>
            </w:r>
          </w:p>
        </w:tc>
        <w:tc>
          <w:tcPr>
            <w:tcW w:type="dxa" w:w="1742"/>
            <w:vAlign w:val="top"/>
            <w:shd w:fill="E9EEF5"/>
          </w:tcPr>
          <w:p>
            <w:pPr>
              <w:spacing w:after="0"/>
            </w:pPr>
            <w:r/>
            <w:r>
              <w:rPr>
                <w:b/>
                <w:sz w:val="17"/>
              </w:rPr>
              <w:t>Identity anchor</w:t>
            </w:r>
          </w:p>
        </w:tc>
        <w:tc>
          <w:tcPr>
            <w:tcW w:type="dxa" w:w="1742"/>
            <w:vAlign w:val="top"/>
            <w:shd w:fill="E9EEF5"/>
          </w:tcPr>
          <w:p>
            <w:pPr>
              <w:spacing w:after="0"/>
            </w:pPr>
            <w:r/>
            <w:r>
              <w:rPr>
                <w:b/>
                <w:sz w:val="17"/>
              </w:rPr>
              <w:t>Specialist service profile</w:t>
            </w:r>
          </w:p>
        </w:tc>
        <w:tc>
          <w:tcPr>
            <w:tcW w:type="dxa" w:w="1742"/>
            <w:vAlign w:val="top"/>
            <w:shd w:fill="E9EEF5"/>
          </w:tcPr>
          <w:p>
            <w:pPr>
              <w:spacing w:after="0"/>
            </w:pPr>
            <w:r/>
            <w:r>
              <w:rPr>
                <w:b/>
                <w:sz w:val="17"/>
              </w:rPr>
              <w:t>Cross-text ruling</w:t>
            </w:r>
          </w:p>
        </w:tc>
      </w:tr>
      <w:tr>
        <w:tc>
          <w:tcPr>
            <w:tcW w:type="dxa" w:w="1742"/>
            <w:vAlign w:val="top"/>
          </w:tcPr>
          <w:p>
            <w:pPr>
              <w:spacing w:after="0"/>
            </w:pPr>
            <w:r/>
            <w:r>
              <w:rPr>
                <w:b w:val="0"/>
                <w:sz w:val="15"/>
              </w:rPr>
              <w:t>N</w:t>
            </w:r>
          </w:p>
        </w:tc>
        <w:tc>
          <w:tcPr>
            <w:tcW w:type="dxa" w:w="1742"/>
            <w:vAlign w:val="top"/>
          </w:tcPr>
          <w:p>
            <w:pPr>
              <w:spacing w:after="0"/>
            </w:pPr>
            <w:r/>
            <w:r>
              <w:rPr>
                <w:b w:val="0"/>
                <w:sz w:val="15"/>
              </w:rPr>
              <w:t>Lalitā</w:t>
            </w:r>
          </w:p>
        </w:tc>
        <w:tc>
          <w:tcPr>
            <w:tcW w:type="dxa" w:w="1742"/>
            <w:vAlign w:val="top"/>
          </w:tcPr>
          <w:p>
            <w:pPr>
              <w:spacing w:after="0"/>
            </w:pPr>
            <w:r/>
            <w:r>
              <w:rPr>
                <w:b w:val="0"/>
                <w:sz w:val="15"/>
              </w:rPr>
              <w:t>Lalitānandada / Anaṅga-raṅgāmbuja</w:t>
            </w:r>
          </w:p>
        </w:tc>
        <w:tc>
          <w:tcPr>
            <w:tcW w:type="dxa" w:w="1742"/>
            <w:vAlign w:val="top"/>
          </w:tcPr>
          <w:p>
            <w:pPr>
              <w:spacing w:after="0"/>
            </w:pPr>
            <w:r/>
            <w:r>
              <w:rPr>
                <w:b w:val="0"/>
                <w:sz w:val="15"/>
              </w:rPr>
              <w:t>GD 80–82; 129–164</w:t>
            </w:r>
          </w:p>
        </w:tc>
        <w:tc>
          <w:tcPr>
            <w:tcW w:type="dxa" w:w="1742"/>
            <w:vAlign w:val="top"/>
          </w:tcPr>
          <w:p>
            <w:pPr>
              <w:spacing w:after="0"/>
            </w:pPr>
            <w:r/>
            <w:r>
              <w:rPr>
                <w:b w:val="0"/>
                <w:sz w:val="15"/>
              </w:rPr>
              <w:t>Supreme supervision; māna/reconciliation; flower architecture; confidential meeting infrastructure; oversight of tāmbūla, vines, vana-devīs and service maidens.</w:t>
            </w:r>
          </w:p>
        </w:tc>
        <w:tc>
          <w:tcPr>
            <w:tcW w:type="dxa" w:w="1742"/>
            <w:vAlign w:val="top"/>
          </w:tcPr>
          <w:p>
            <w:pPr>
              <w:spacing w:after="0"/>
            </w:pPr>
            <w:r/>
            <w:r>
              <w:rPr>
                <w:b w:val="0"/>
                <w:sz w:val="15"/>
              </w:rPr>
              <w:t>Service identity from GD; directional sector from GL. Direct one-to-one functional coherence is strong.</w:t>
            </w:r>
          </w:p>
        </w:tc>
      </w:tr>
      <w:tr>
        <w:tc>
          <w:tcPr>
            <w:tcW w:type="dxa" w:w="1742"/>
            <w:vAlign w:val="top"/>
          </w:tcPr>
          <w:p>
            <w:pPr>
              <w:spacing w:after="0"/>
            </w:pPr>
            <w:r/>
            <w:r>
              <w:rPr>
                <w:b w:val="0"/>
                <w:sz w:val="15"/>
              </w:rPr>
              <w:t>NE</w:t>
            </w:r>
          </w:p>
        </w:tc>
        <w:tc>
          <w:tcPr>
            <w:tcW w:type="dxa" w:w="1742"/>
            <w:vAlign w:val="top"/>
          </w:tcPr>
          <w:p>
            <w:pPr>
              <w:spacing w:after="0"/>
            </w:pPr>
            <w:r/>
            <w:r>
              <w:rPr>
                <w:b w:val="0"/>
                <w:sz w:val="15"/>
              </w:rPr>
              <w:t>Viśākhā</w:t>
            </w:r>
          </w:p>
        </w:tc>
        <w:tc>
          <w:tcPr>
            <w:tcW w:type="dxa" w:w="1742"/>
            <w:vAlign w:val="top"/>
          </w:tcPr>
          <w:p>
            <w:pPr>
              <w:spacing w:after="0"/>
            </w:pPr>
            <w:r/>
            <w:r>
              <w:rPr>
                <w:b w:val="0"/>
                <w:sz w:val="15"/>
              </w:rPr>
              <w:t>Madana-sukhada / Viśākhānandada</w:t>
            </w:r>
          </w:p>
        </w:tc>
        <w:tc>
          <w:tcPr>
            <w:tcW w:type="dxa" w:w="1742"/>
            <w:vAlign w:val="top"/>
          </w:tcPr>
          <w:p>
            <w:pPr>
              <w:spacing w:after="0"/>
            </w:pPr>
            <w:r/>
            <w:r>
              <w:rPr>
                <w:b w:val="0"/>
                <w:sz w:val="15"/>
              </w:rPr>
              <w:t>GD 83–85; 165–171</w:t>
            </w:r>
          </w:p>
        </w:tc>
        <w:tc>
          <w:tcPr>
            <w:tcW w:type="dxa" w:w="1742"/>
            <w:vAlign w:val="top"/>
          </w:tcPr>
          <w:p>
            <w:pPr>
              <w:spacing w:after="0"/>
            </w:pPr>
            <w:r/>
            <w:r>
              <w:rPr>
                <w:b w:val="0"/>
                <w:sz w:val="15"/>
              </w:rPr>
              <w:t>Emotional interpretation; intelligent messaging; negotiation; body decoration; poetry; Sūrya-pūjā materials; multilingual song/music; garment and flower-tree oversight.</w:t>
            </w:r>
          </w:p>
        </w:tc>
        <w:tc>
          <w:tcPr>
            <w:tcW w:type="dxa" w:w="1742"/>
            <w:vAlign w:val="top"/>
          </w:tcPr>
          <w:p>
            <w:pPr>
              <w:spacing w:after="0"/>
            </w:pPr>
            <w:r/>
            <w:r>
              <w:rPr>
                <w:b w:val="0"/>
                <w:sz w:val="15"/>
              </w:rPr>
              <w:t>Her Sūrya skill and GL/KBh route role are directly relevant; sector comes from GL.</w:t>
            </w:r>
          </w:p>
        </w:tc>
      </w:tr>
      <w:tr>
        <w:tc>
          <w:tcPr>
            <w:tcW w:type="dxa" w:w="1742"/>
            <w:vAlign w:val="top"/>
          </w:tcPr>
          <w:p>
            <w:pPr>
              <w:spacing w:after="0"/>
            </w:pPr>
            <w:r/>
            <w:r>
              <w:rPr>
                <w:b w:val="0"/>
                <w:sz w:val="15"/>
              </w:rPr>
              <w:t>E</w:t>
            </w:r>
          </w:p>
        </w:tc>
        <w:tc>
          <w:tcPr>
            <w:tcW w:type="dxa" w:w="1742"/>
            <w:vAlign w:val="top"/>
          </w:tcPr>
          <w:p>
            <w:pPr>
              <w:spacing w:after="0"/>
            </w:pPr>
            <w:r/>
            <w:r>
              <w:rPr>
                <w:b w:val="0"/>
                <w:sz w:val="15"/>
              </w:rPr>
              <w:t>Citrā</w:t>
            </w:r>
          </w:p>
        </w:tc>
        <w:tc>
          <w:tcPr>
            <w:tcW w:type="dxa" w:w="1742"/>
            <w:vAlign w:val="top"/>
          </w:tcPr>
          <w:p>
            <w:pPr>
              <w:spacing w:after="0"/>
            </w:pPr>
            <w:r/>
            <w:r>
              <w:rPr>
                <w:b w:val="0"/>
                <w:sz w:val="15"/>
              </w:rPr>
              <w:t>Citrānandada</w:t>
            </w:r>
          </w:p>
        </w:tc>
        <w:tc>
          <w:tcPr>
            <w:tcW w:type="dxa" w:w="1742"/>
            <w:vAlign w:val="top"/>
          </w:tcPr>
          <w:p>
            <w:pPr>
              <w:spacing w:after="0"/>
            </w:pPr>
            <w:r/>
            <w:r>
              <w:rPr>
                <w:b w:val="0"/>
                <w:sz w:val="15"/>
              </w:rPr>
              <w:t>GD 88–89; 177–182</w:t>
            </w:r>
          </w:p>
        </w:tc>
        <w:tc>
          <w:tcPr>
            <w:tcW w:type="dxa" w:w="1742"/>
            <w:vAlign w:val="top"/>
          </w:tcPr>
          <w:p>
            <w:pPr>
              <w:spacing w:after="0"/>
            </w:pPr>
            <w:r/>
            <w:r>
              <w:rPr>
                <w:b w:val="0"/>
                <w:sz w:val="15"/>
              </w:rPr>
              <w:t>Movement/rendezvous strategy; coded signs; writing; languages; astrology; animal/tree care; drinks and sherbets.</w:t>
            </w:r>
          </w:p>
        </w:tc>
        <w:tc>
          <w:tcPr>
            <w:tcW w:type="dxa" w:w="1742"/>
            <w:vAlign w:val="top"/>
          </w:tcPr>
          <w:p>
            <w:pPr>
              <w:spacing w:after="0"/>
            </w:pPr>
            <w:r/>
            <w:r>
              <w:rPr>
                <w:b w:val="0"/>
                <w:sz w:val="15"/>
              </w:rPr>
              <w:t>Do not invent a specific Citrānandada drink episode unless directly found.</w:t>
            </w:r>
          </w:p>
        </w:tc>
      </w:tr>
      <w:tr>
        <w:tc>
          <w:tcPr>
            <w:tcW w:type="dxa" w:w="1742"/>
            <w:vAlign w:val="top"/>
          </w:tcPr>
          <w:p>
            <w:pPr>
              <w:spacing w:after="0"/>
            </w:pPr>
            <w:r/>
            <w:r>
              <w:rPr>
                <w:b w:val="0"/>
                <w:sz w:val="15"/>
              </w:rPr>
              <w:t>SE</w:t>
            </w:r>
          </w:p>
        </w:tc>
        <w:tc>
          <w:tcPr>
            <w:tcW w:type="dxa" w:w="1742"/>
            <w:vAlign w:val="top"/>
          </w:tcPr>
          <w:p>
            <w:pPr>
              <w:spacing w:after="0"/>
            </w:pPr>
            <w:r/>
            <w:r>
              <w:rPr>
                <w:b w:val="0"/>
                <w:sz w:val="15"/>
              </w:rPr>
              <w:t>Indulekhā</w:t>
            </w:r>
          </w:p>
        </w:tc>
        <w:tc>
          <w:tcPr>
            <w:tcW w:type="dxa" w:w="1742"/>
            <w:vAlign w:val="top"/>
          </w:tcPr>
          <w:p>
            <w:pPr>
              <w:spacing w:after="0"/>
            </w:pPr>
            <w:r/>
            <w:r>
              <w:rPr>
                <w:b w:val="0"/>
                <w:sz w:val="15"/>
              </w:rPr>
              <w:t>Pūrṇendu-kuñja</w:t>
            </w:r>
          </w:p>
        </w:tc>
        <w:tc>
          <w:tcPr>
            <w:tcW w:type="dxa" w:w="1742"/>
            <w:vAlign w:val="top"/>
          </w:tcPr>
          <w:p>
            <w:pPr>
              <w:spacing w:after="0"/>
            </w:pPr>
            <w:r/>
            <w:r>
              <w:rPr>
                <w:b w:val="0"/>
                <w:sz w:val="15"/>
              </w:rPr>
              <w:t>GD 92–93; 188–193</w:t>
            </w:r>
          </w:p>
        </w:tc>
        <w:tc>
          <w:tcPr>
            <w:tcW w:type="dxa" w:w="1742"/>
            <w:vAlign w:val="top"/>
          </w:tcPr>
          <w:p>
            <w:pPr>
              <w:spacing w:after="0"/>
            </w:pPr>
            <w:r/>
            <w:r>
              <w:rPr>
                <w:b w:val="0"/>
                <w:sz w:val="15"/>
              </w:rPr>
              <w:t>Secret conversations; gem/ornament skill; lucky diagrams; mutual-attraction service; stewardship of enchanting places; treasury/dress oversight.</w:t>
            </w:r>
          </w:p>
        </w:tc>
        <w:tc>
          <w:tcPr>
            <w:tcW w:type="dxa" w:w="1742"/>
            <w:vAlign w:val="top"/>
          </w:tcPr>
          <w:p>
            <w:pPr>
              <w:spacing w:after="0"/>
            </w:pPr>
            <w:r/>
            <w:r>
              <w:rPr>
                <w:b w:val="0"/>
                <w:sz w:val="15"/>
              </w:rPr>
              <w:t>Thematic coherence with concealment geography is interpretation, not an explicit GD localization.</w:t>
            </w:r>
          </w:p>
        </w:tc>
      </w:tr>
      <w:tr>
        <w:tc>
          <w:tcPr>
            <w:tcW w:type="dxa" w:w="1742"/>
            <w:vAlign w:val="top"/>
          </w:tcPr>
          <w:p>
            <w:pPr>
              <w:spacing w:after="0"/>
            </w:pPr>
            <w:r/>
            <w:r>
              <w:rPr>
                <w:b w:val="0"/>
                <w:sz w:val="15"/>
              </w:rPr>
              <w:t>S</w:t>
            </w:r>
          </w:p>
        </w:tc>
        <w:tc>
          <w:tcPr>
            <w:tcW w:type="dxa" w:w="1742"/>
            <w:vAlign w:val="top"/>
          </w:tcPr>
          <w:p>
            <w:pPr>
              <w:spacing w:after="0"/>
            </w:pPr>
            <w:r/>
            <w:r>
              <w:rPr>
                <w:b w:val="0"/>
                <w:sz w:val="15"/>
              </w:rPr>
              <w:t>Campakalatā</w:t>
            </w:r>
          </w:p>
        </w:tc>
        <w:tc>
          <w:tcPr>
            <w:tcW w:type="dxa" w:w="1742"/>
            <w:vAlign w:val="top"/>
          </w:tcPr>
          <w:p>
            <w:pPr>
              <w:spacing w:after="0"/>
            </w:pPr>
            <w:r/>
            <w:r>
              <w:rPr>
                <w:b w:val="0"/>
                <w:sz w:val="15"/>
              </w:rPr>
              <w:t>Campakalatānandada / golden kuñja</w:t>
            </w:r>
          </w:p>
        </w:tc>
        <w:tc>
          <w:tcPr>
            <w:tcW w:type="dxa" w:w="1742"/>
            <w:vAlign w:val="top"/>
          </w:tcPr>
          <w:p>
            <w:pPr>
              <w:spacing w:after="0"/>
            </w:pPr>
            <w:r/>
            <w:r>
              <w:rPr>
                <w:b w:val="0"/>
                <w:sz w:val="15"/>
              </w:rPr>
              <w:t>GD 86–87; 172–176</w:t>
            </w:r>
          </w:p>
        </w:tc>
        <w:tc>
          <w:tcPr>
            <w:tcW w:type="dxa" w:w="1742"/>
            <w:vAlign w:val="top"/>
          </w:tcPr>
          <w:p>
            <w:pPr>
              <w:spacing w:after="0"/>
            </w:pPr>
            <w:r/>
            <w:r>
              <w:rPr>
                <w:b w:val="0"/>
                <w:sz w:val="15"/>
              </w:rPr>
              <w:t>Messenger supervision; concealment of intentions; fruit/flower/root gathering; six tastes; cooking; sweets; milk preparations; vegetation management.</w:t>
            </w:r>
          </w:p>
        </w:tc>
        <w:tc>
          <w:tcPr>
            <w:tcW w:type="dxa" w:w="1742"/>
            <w:vAlign w:val="top"/>
          </w:tcPr>
          <w:p>
            <w:pPr>
              <w:spacing w:after="0"/>
            </w:pPr>
            <w:r/>
            <w:r>
              <w:rPr>
                <w:b w:val="0"/>
                <w:sz w:val="15"/>
              </w:rPr>
              <w:t>Strong direct correspondence with GL's Campakalatā kuñja kitchen and kuñja-bhojana.</w:t>
            </w:r>
          </w:p>
        </w:tc>
      </w:tr>
      <w:tr>
        <w:tc>
          <w:tcPr>
            <w:tcW w:type="dxa" w:w="1742"/>
            <w:vAlign w:val="top"/>
          </w:tcPr>
          <w:p>
            <w:pPr>
              <w:spacing w:after="0"/>
            </w:pPr>
            <w:r/>
            <w:r>
              <w:rPr>
                <w:b w:val="0"/>
                <w:sz w:val="15"/>
              </w:rPr>
              <w:t>SW</w:t>
            </w:r>
          </w:p>
        </w:tc>
        <w:tc>
          <w:tcPr>
            <w:tcW w:type="dxa" w:w="1742"/>
            <w:vAlign w:val="top"/>
          </w:tcPr>
          <w:p>
            <w:pPr>
              <w:spacing w:after="0"/>
            </w:pPr>
            <w:r/>
            <w:r>
              <w:rPr>
                <w:b w:val="0"/>
                <w:sz w:val="15"/>
              </w:rPr>
              <w:t>Raṅgadevī</w:t>
            </w:r>
          </w:p>
        </w:tc>
        <w:tc>
          <w:tcPr>
            <w:tcW w:type="dxa" w:w="1742"/>
            <w:vAlign w:val="top"/>
          </w:tcPr>
          <w:p>
            <w:pPr>
              <w:spacing w:after="0"/>
            </w:pPr>
            <w:r/>
            <w:r>
              <w:rPr>
                <w:b w:val="0"/>
                <w:sz w:val="15"/>
              </w:rPr>
              <w:t>Śyāma-kuñja</w:t>
            </w:r>
          </w:p>
        </w:tc>
        <w:tc>
          <w:tcPr>
            <w:tcW w:type="dxa" w:w="1742"/>
            <w:vAlign w:val="top"/>
          </w:tcPr>
          <w:p>
            <w:pPr>
              <w:spacing w:after="0"/>
            </w:pPr>
            <w:r/>
            <w:r>
              <w:rPr>
                <w:b w:val="0"/>
                <w:sz w:val="15"/>
              </w:rPr>
              <w:t>GD 94–95; 194–198</w:t>
            </w:r>
          </w:p>
        </w:tc>
        <w:tc>
          <w:tcPr>
            <w:tcW w:type="dxa" w:w="1742"/>
            <w:vAlign w:val="top"/>
          </w:tcPr>
          <w:p>
            <w:pPr>
              <w:spacing w:after="0"/>
            </w:pPr>
            <w:r/>
            <w:r>
              <w:rPr>
                <w:b w:val="0"/>
                <w:sz w:val="15"/>
              </w:rPr>
              <w:t>Gesture and playful boldness; fragrant body decoration; incense; winter fire; summer fanning; forest-animal supervision.</w:t>
            </w:r>
          </w:p>
        </w:tc>
        <w:tc>
          <w:tcPr>
            <w:tcW w:type="dxa" w:w="1742"/>
            <w:vAlign w:val="top"/>
          </w:tcPr>
          <w:p>
            <w:pPr>
              <w:spacing w:after="0"/>
            </w:pPr>
            <w:r/>
            <w:r>
              <w:rPr>
                <w:b w:val="0"/>
                <w:sz w:val="15"/>
              </w:rPr>
              <w:t>Dark/concealment sector comes from GL; service profile from GD.</w:t>
            </w:r>
          </w:p>
        </w:tc>
      </w:tr>
      <w:tr>
        <w:tc>
          <w:tcPr>
            <w:tcW w:type="dxa" w:w="1742"/>
            <w:vAlign w:val="top"/>
          </w:tcPr>
          <w:p>
            <w:pPr>
              <w:spacing w:after="0"/>
            </w:pPr>
            <w:r/>
            <w:r>
              <w:rPr>
                <w:b w:val="0"/>
                <w:sz w:val="15"/>
              </w:rPr>
              <w:t>W</w:t>
            </w:r>
          </w:p>
        </w:tc>
        <w:tc>
          <w:tcPr>
            <w:tcW w:type="dxa" w:w="1742"/>
            <w:vAlign w:val="top"/>
          </w:tcPr>
          <w:p>
            <w:pPr>
              <w:spacing w:after="0"/>
            </w:pPr>
            <w:r/>
            <w:r>
              <w:rPr>
                <w:b w:val="0"/>
                <w:sz w:val="15"/>
              </w:rPr>
              <w:t>Tuṅgavidyā</w:t>
            </w:r>
          </w:p>
        </w:tc>
        <w:tc>
          <w:tcPr>
            <w:tcW w:type="dxa" w:w="1742"/>
            <w:vAlign w:val="top"/>
          </w:tcPr>
          <w:p>
            <w:pPr>
              <w:spacing w:after="0"/>
            </w:pPr>
            <w:r/>
            <w:r>
              <w:rPr>
                <w:b w:val="0"/>
                <w:sz w:val="15"/>
              </w:rPr>
              <w:t>Aruṇa-kuñja</w:t>
            </w:r>
          </w:p>
        </w:tc>
        <w:tc>
          <w:tcPr>
            <w:tcW w:type="dxa" w:w="1742"/>
            <w:vAlign w:val="top"/>
          </w:tcPr>
          <w:p>
            <w:pPr>
              <w:spacing w:after="0"/>
            </w:pPr>
            <w:r/>
            <w:r>
              <w:rPr>
                <w:b w:val="0"/>
                <w:sz w:val="15"/>
              </w:rPr>
              <w:t>GD 90–91; 183–187</w:t>
            </w:r>
          </w:p>
        </w:tc>
        <w:tc>
          <w:tcPr>
            <w:tcW w:type="dxa" w:w="1742"/>
            <w:vAlign w:val="top"/>
          </w:tcPr>
          <w:p>
            <w:pPr>
              <w:spacing w:after="0"/>
            </w:pPr>
            <w:r/>
            <w:r>
              <w:rPr>
                <w:b w:val="0"/>
                <w:sz w:val="15"/>
              </w:rPr>
              <w:t>Eighteen sciences; rasa/nīti/drama; rāga-rāgiṇī, vīṇā, music/dance; meeting arrangement; water/rivers/springs service groups.</w:t>
            </w:r>
          </w:p>
        </w:tc>
        <w:tc>
          <w:tcPr>
            <w:tcW w:type="dxa" w:w="1742"/>
            <w:vAlign w:val="top"/>
          </w:tcPr>
          <w:p>
            <w:pPr>
              <w:spacing w:after="0"/>
            </w:pPr>
            <w:r/>
            <w:r>
              <w:rPr>
                <w:b w:val="0"/>
                <w:sz w:val="15"/>
              </w:rPr>
              <w:t>Do not infer a particular local water-play station from the GD supervision line alone.</w:t>
            </w:r>
          </w:p>
        </w:tc>
      </w:tr>
      <w:tr>
        <w:tc>
          <w:tcPr>
            <w:tcW w:type="dxa" w:w="1742"/>
            <w:vAlign w:val="top"/>
          </w:tcPr>
          <w:p>
            <w:pPr>
              <w:spacing w:after="0"/>
            </w:pPr>
            <w:r/>
            <w:r>
              <w:rPr>
                <w:b w:val="0"/>
                <w:sz w:val="15"/>
              </w:rPr>
              <w:t>NW</w:t>
            </w:r>
          </w:p>
        </w:tc>
        <w:tc>
          <w:tcPr>
            <w:tcW w:type="dxa" w:w="1742"/>
            <w:vAlign w:val="top"/>
          </w:tcPr>
          <w:p>
            <w:pPr>
              <w:spacing w:after="0"/>
            </w:pPr>
            <w:r/>
            <w:r>
              <w:rPr>
                <w:b w:val="0"/>
                <w:sz w:val="15"/>
              </w:rPr>
              <w:t>Sudevī</w:t>
            </w:r>
          </w:p>
        </w:tc>
        <w:tc>
          <w:tcPr>
            <w:tcW w:type="dxa" w:w="1742"/>
            <w:vAlign w:val="top"/>
          </w:tcPr>
          <w:p>
            <w:pPr>
              <w:spacing w:after="0"/>
            </w:pPr>
            <w:r/>
            <w:r>
              <w:rPr>
                <w:b w:val="0"/>
                <w:sz w:val="15"/>
              </w:rPr>
              <w:t>Harit-kuñja / Sudevī-sukhada</w:t>
            </w:r>
          </w:p>
        </w:tc>
        <w:tc>
          <w:tcPr>
            <w:tcW w:type="dxa" w:w="1742"/>
            <w:vAlign w:val="top"/>
          </w:tcPr>
          <w:p>
            <w:pPr>
              <w:spacing w:after="0"/>
            </w:pPr>
            <w:r/>
            <w:r>
              <w:rPr>
                <w:b w:val="0"/>
                <w:sz w:val="15"/>
              </w:rPr>
              <w:t>GD 96; 199–204</w:t>
            </w:r>
          </w:p>
        </w:tc>
        <w:tc>
          <w:tcPr>
            <w:tcW w:type="dxa" w:w="1742"/>
            <w:vAlign w:val="top"/>
          </w:tcPr>
          <w:p>
            <w:pPr>
              <w:spacing w:after="0"/>
            </w:pPr>
            <w:r/>
            <w:r>
              <w:rPr>
                <w:b w:val="0"/>
                <w:sz w:val="15"/>
              </w:rPr>
              <w:t>Hair, añjana, massage; parrots; boat play; omens; animal-language; disguise/intelligence; thrones/cushions; opposing-party reconnaissance.</w:t>
            </w:r>
          </w:p>
        </w:tc>
        <w:tc>
          <w:tcPr>
            <w:tcW w:type="dxa" w:w="1742"/>
            <w:vAlign w:val="top"/>
          </w:tcPr>
          <w:p>
            <w:pPr>
              <w:spacing w:after="0"/>
            </w:pPr>
            <w:r/>
            <w:r>
              <w:rPr>
                <w:b w:val="0"/>
                <w:sz w:val="15"/>
              </w:rPr>
              <w:t>Very strong cross-text convergence: GL makes the NW grove a dice site; KBh has Sudevī bring the dice apparatus.</w:t>
            </w:r>
          </w:p>
        </w:tc>
      </w:tr>
    </w:tbl>
    <w:p>
      <w:pPr>
        <w:pStyle w:val="Heading1"/>
        <w:keepNext/>
      </w:pPr>
      <w:r>
        <w:t>5. Lalitā — supreme superintendent</w:t>
      </w:r>
    </w:p>
    <w:p>
      <w:pPr>
        <w:spacing w:after="20"/>
        <w:ind w:left="403" w:right="259"/>
      </w:pPr>
      <w:r>
        <w:rPr>
          <w:i/>
          <w:sz w:val="18"/>
        </w:rPr>
        <w:t>tatrādyā lalitā-devī syād aṣṭāsu varīyasī / priya-sakhyā bhavej jyeṣṭhā saptaviṁśati-vāsaraiḥ ||80||</w:t>
      </w:r>
    </w:p>
    <w:p>
      <w:pPr>
        <w:spacing w:after="20"/>
        <w:ind w:left="403" w:right="259"/>
      </w:pPr>
      <w:r>
        <w:rPr>
          <w:sz w:val="18"/>
        </w:rPr>
        <w:t>Translation: Lalitā is foremost among the eight and is twenty-seven days older than Rādhā.</w:t>
      </w:r>
    </w:p>
    <w:p>
      <w:pPr>
        <w:spacing w:after="60"/>
        <w:ind w:left="403"/>
      </w:pPr>
      <w:r>
        <w:rPr>
          <w:b/>
          <w:sz w:val="16"/>
        </w:rPr>
        <w:t>Gaṇoddeśa-dīpikā 80</w:t>
      </w:r>
      <w:r>
        <w:rPr>
          <w:i/>
          <w:sz w:val="16"/>
        </w:rPr>
        <w:t xml:space="preserve"> — VERIFIED</w:t>
      </w:r>
    </w:p>
    <w:p>
      <w:pPr>
        <w:pStyle w:val="ListBullet"/>
        <w:spacing w:after="40"/>
      </w:pPr>
      <w:r>
        <w:t>Identity: also called Anurādhā; vāma-prakharā; gorocanā-yellow complexion; peacock-tail-colored attire. Mother Śāradī, father Viśoka, husband Bhairava, a friend of Govardhana Gopa (GD 81–82).</w:t>
      </w:r>
    </w:p>
    <w:p>
      <w:pPr>
        <w:spacing w:after="20"/>
        <w:ind w:left="403" w:right="259"/>
      </w:pPr>
      <w:r>
        <w:rPr>
          <w:i/>
          <w:sz w:val="18"/>
        </w:rPr>
        <w:t>tathāpi parama-preṣṭha-sakhyaḥ śreṣṭhatayoditāḥ / sarvatra lalitā-devī paramādhyakṣatāṁ gatā ||129||</w:t>
      </w:r>
    </w:p>
    <w:p>
      <w:pPr>
        <w:spacing w:after="20"/>
        <w:ind w:left="403" w:right="259"/>
      </w:pPr>
      <w:r>
        <w:rPr>
          <w:sz w:val="18"/>
        </w:rPr>
        <w:t>Translation: Among the supremely beloved sakhīs, Lalitā holds the position of supreme superintendent everywhere.</w:t>
      </w:r>
    </w:p>
    <w:p>
      <w:pPr>
        <w:spacing w:after="60"/>
        <w:ind w:left="403"/>
      </w:pPr>
      <w:r>
        <w:rPr>
          <w:b/>
          <w:sz w:val="16"/>
        </w:rPr>
        <w:t>Gaṇoddeśa-dīpikā 129</w:t>
      </w:r>
      <w:r>
        <w:rPr>
          <w:i/>
          <w:sz w:val="16"/>
        </w:rPr>
        <w:t xml:space="preserve"> — VERIFIED</w:t>
      </w:r>
    </w:p>
    <w:p>
      <w:pPr>
        <w:spacing w:after="20"/>
        <w:ind w:left="403" w:right="259"/>
      </w:pPr>
      <w:r>
        <w:rPr>
          <w:i/>
          <w:sz w:val="18"/>
        </w:rPr>
        <w:t>svīkṛtākhila-bhāveyaṁ sandhi-vigrahiṇī matā / aparādhyati rādhāyai mādhave kvāpi daivataḥ ||130||</w:t>
      </w:r>
    </w:p>
    <w:p>
      <w:pPr>
        <w:spacing w:after="20"/>
        <w:ind w:left="403" w:right="259"/>
      </w:pPr>
      <w:r>
        <w:rPr>
          <w:sz w:val="18"/>
        </w:rPr>
        <w:t>Translation: She understands the Couple's full emotional range, arranges both union and quarrel, and at times even opposes Mādhava for Rādhā's sake.</w:t>
      </w:r>
    </w:p>
    <w:p>
      <w:pPr>
        <w:spacing w:after="60"/>
        <w:ind w:left="403"/>
      </w:pPr>
      <w:r>
        <w:rPr>
          <w:b/>
          <w:sz w:val="16"/>
        </w:rPr>
        <w:t>Gaṇoddeśa-dīpikā 130</w:t>
      </w:r>
      <w:r>
        <w:rPr>
          <w:i/>
          <w:sz w:val="16"/>
        </w:rPr>
        <w:t xml:space="preserve"> — VERIFIED</w:t>
      </w:r>
    </w:p>
    <w:p>
      <w:pPr>
        <w:pStyle w:val="ListBullet"/>
        <w:spacing w:after="40"/>
      </w:pPr>
      <w:r>
        <w:t>GD 132–133a: she can intensify Rādhā's māna, yet also arrange reconciliation/meeting, including through Paurṇamāsī and others.</w:t>
      </w:r>
    </w:p>
    <w:p>
      <w:pPr>
        <w:pStyle w:val="ListBullet"/>
        <w:spacing w:after="40"/>
      </w:pPr>
      <w:r>
        <w:t>GD 133b–164: she is expert in flower ornaments, parasols, beds, awnings and huts, as well as secluded places suitable for intimate conversation.</w:t>
      </w:r>
    </w:p>
    <w:p>
      <w:pPr>
        <w:pStyle w:val="ListBullet"/>
        <w:spacing w:after="40"/>
      </w:pPr>
      <w:r>
        <w:t>GD 134b–136: she supervises tāmbūla servants, the Madanonmādinī garden service, flower/betel/betel-nut vegetation, vana-devīs and other service maidens.</w:t>
      </w:r>
    </w:p>
    <w:p>
      <w:pPr>
        <w:pStyle w:val="ListBullet"/>
        <w:spacing w:after="40"/>
      </w:pPr>
      <w:r>
        <w:t>Rādhā-kuṇḍa significance: GL gives Lalitā by far the largest directional complex, with an internal micro-map. The social authority in GD helps explain why.</w:t>
      </w:r>
    </w:p>
    <w:p>
      <w:pPr>
        <w:pStyle w:val="Heading1"/>
        <w:keepNext/>
      </w:pPr>
      <w:r>
        <w:t>6. Viśākhā — interpreter, messenger and Sūrya-pūjā specialist</w:t>
      </w:r>
    </w:p>
    <w:p>
      <w:pPr>
        <w:spacing w:after="20"/>
        <w:ind w:left="403" w:right="259"/>
      </w:pPr>
      <w:r>
        <w:rPr>
          <w:i/>
          <w:sz w:val="18"/>
        </w:rPr>
        <w:t>viśākhātra dvitīyā syād ekācāra-guṇa-vratā / priya-sakhyā janir yatra tatraiṣābhyuditā kṣaṇe ||83||</w:t>
      </w:r>
    </w:p>
    <w:p>
      <w:pPr>
        <w:spacing w:after="20"/>
        <w:ind w:left="403" w:right="259"/>
      </w:pPr>
      <w:r>
        <w:rPr>
          <w:sz w:val="18"/>
        </w:rPr>
        <w:t>Translation: Viśākhā is the second variṣṭha sakhī and was born at the exact same moment as Rādhā.</w:t>
      </w:r>
    </w:p>
    <w:p>
      <w:pPr>
        <w:spacing w:after="60"/>
        <w:ind w:left="403"/>
      </w:pPr>
      <w:r>
        <w:rPr>
          <w:b/>
          <w:sz w:val="16"/>
        </w:rPr>
        <w:t>Gaṇoddeśa-dīpikā 83</w:t>
      </w:r>
      <w:r>
        <w:rPr>
          <w:i/>
          <w:sz w:val="16"/>
        </w:rPr>
        <w:t xml:space="preserve"> — VERIFIED</w:t>
      </w:r>
    </w:p>
    <w:p>
      <w:pPr>
        <w:pStyle w:val="ListBullet"/>
        <w:spacing w:after="40"/>
      </w:pPr>
      <w:r>
        <w:t>Identity: lightning complexion; blue star-like garments; father Pāvana, mother Dakṣiṇā, husband Vāhika (GD 84–85).</w:t>
      </w:r>
    </w:p>
    <w:p>
      <w:pPr>
        <w:spacing w:after="20"/>
        <w:ind w:left="403" w:right="259"/>
      </w:pPr>
      <w:r>
        <w:rPr>
          <w:i/>
          <w:sz w:val="18"/>
        </w:rPr>
        <w:t>viśākhā navatā bhadrā priya-narma-sakhī matā ... / parijñātārtha-hṛdayā buddhi-dūtyaika-kovidā ||165–166||</w:t>
      </w:r>
    </w:p>
    <w:p>
      <w:pPr>
        <w:spacing w:after="20"/>
        <w:ind w:left="403" w:right="259"/>
      </w:pPr>
      <w:r>
        <w:rPr>
          <w:sz w:val="18"/>
        </w:rPr>
        <w:t>Translation: Viśākhā is a priya-narma-sakhī, expert at grasping the Couple's inner intention and at intelligent messenger service.</w:t>
      </w:r>
    </w:p>
    <w:p>
      <w:pPr>
        <w:spacing w:after="60"/>
        <w:ind w:left="403"/>
      </w:pPr>
      <w:r>
        <w:rPr>
          <w:b/>
          <w:sz w:val="16"/>
        </w:rPr>
        <w:t>Gaṇoddeśa-dīpikā 165–166</w:t>
      </w:r>
      <w:r>
        <w:rPr>
          <w:i/>
          <w:sz w:val="16"/>
        </w:rPr>
        <w:t xml:space="preserve"> — VERIFIED</w:t>
      </w:r>
    </w:p>
    <w:p>
      <w:pPr>
        <w:pStyle w:val="ListBullet"/>
        <w:spacing w:after="40"/>
      </w:pPr>
      <w:r>
        <w:t>GD 166: skilled in sāma, dāna, bheda and other means used to nourish a rendezvous.</w:t>
      </w:r>
    </w:p>
    <w:p>
      <w:pPr>
        <w:pStyle w:val="ListBullet"/>
        <w:spacing w:after="40"/>
      </w:pPr>
      <w:r>
        <w:t>GD 167–169a: body decoration, garlands, auspicious diagrams, poetic double meanings, Sūrya-pūjā ingredients, songs in different languages, dhrupada and poetry.</w:t>
      </w:r>
    </w:p>
    <w:p>
      <w:pPr>
        <w:pStyle w:val="ListBullet"/>
        <w:spacing w:after="40"/>
      </w:pPr>
      <w:r>
        <w:t>GD 169b–171: supervises garment service, vana-devīs and flower-tree care.</w:t>
      </w:r>
    </w:p>
    <w:p>
      <w:pPr>
        <w:pStyle w:val="ListBullet"/>
        <w:spacing w:after="40"/>
      </w:pPr>
      <w:r>
        <w:t>Rādhā-kuṇḍa significance: in GL's approach sequence, bewildered Rādhā asks Viśākhā to confirm that the figure before Her is really Kṛṣṇa; her GD profile explains this interpretive role.</w:t>
      </w:r>
    </w:p>
    <w:p>
      <w:pPr>
        <w:pStyle w:val="Heading1"/>
        <w:keepNext/>
      </w:pPr>
      <w:r>
        <w:t>7. Campakalatā — culinary and resource specialist</w:t>
      </w:r>
    </w:p>
    <w:p>
      <w:pPr>
        <w:pStyle w:val="ListBullet"/>
        <w:spacing w:after="40"/>
      </w:pPr>
      <w:r>
        <w:t>Identity: third variṣṭha sakhī; campaka complexion; one day younger than Rādhā; blue-jay-colored attire; father Ārāma, mother Vāṭikā, husband Caṇḍākṣa; similar in qualities to Viśākhā (GD 86–87).</w:t>
      </w:r>
    </w:p>
    <w:p>
      <w:pPr>
        <w:spacing w:after="20"/>
        <w:ind w:left="403" w:right="259"/>
      </w:pPr>
      <w:r>
        <w:rPr>
          <w:i/>
          <w:sz w:val="18"/>
        </w:rPr>
        <w:t>abhijñā campakalatā dūtya-tantra-praghaṭṭake / nigūḍhārambha-sambhārā vāco-yukti-viśāradā ||172||</w:t>
      </w:r>
    </w:p>
    <w:p>
      <w:pPr>
        <w:spacing w:after="20"/>
        <w:ind w:left="403" w:right="259"/>
      </w:pPr>
      <w:r>
        <w:rPr>
          <w:sz w:val="18"/>
        </w:rPr>
        <w:t>Translation: Campakalatā is expert in managing messenger operations, concealing the real intention of actions, and speaking with logical skill.</w:t>
      </w:r>
    </w:p>
    <w:p>
      <w:pPr>
        <w:spacing w:after="60"/>
        <w:ind w:left="403"/>
      </w:pPr>
      <w:r>
        <w:rPr>
          <w:b/>
          <w:sz w:val="16"/>
        </w:rPr>
        <w:t>Gaṇoddeśa-dīpikā 172</w:t>
      </w:r>
      <w:r>
        <w:rPr>
          <w:i/>
          <w:sz w:val="16"/>
        </w:rPr>
        <w:t xml:space="preserve"> — VERIFIED</w:t>
      </w:r>
    </w:p>
    <w:p>
      <w:pPr>
        <w:pStyle w:val="ListBullet"/>
        <w:spacing w:after="40"/>
      </w:pPr>
      <w:r>
        <w:t>GD 173b–175a: fruit, flower and edible-root gathering; clay work; evaluating the six tastes; cooking science; sweets. She is famous as Miṣṭa-hastā, 'sweet hands'.</w:t>
      </w:r>
    </w:p>
    <w:p>
      <w:pPr>
        <w:pStyle w:val="ListBullet"/>
        <w:spacing w:after="40"/>
      </w:pPr>
      <w:r>
        <w:t>GD 175b–176: supervises milk-preparation cooks, her eight subordinate sakhīs and those who manage trees, creepers and bushes.</w:t>
      </w:r>
    </w:p>
    <w:p>
      <w:pPr>
        <w:pStyle w:val="ListBullet"/>
        <w:spacing w:after="40"/>
      </w:pPr>
      <w:r>
        <w:t>Rādhā-kuṇḍa significance: GL 7.90–92 places a kuñja kitchen and kuñja-bhojana in Campakalatā's southern golden sector. This is a direct person-service-location correspondence.</w:t>
      </w:r>
    </w:p>
    <w:p>
      <w:pPr>
        <w:pStyle w:val="Heading1"/>
        <w:keepNext/>
      </w:pPr>
      <w:r>
        <w:t>8. Citrā — coded communication, movement and refreshment service</w:t>
      </w:r>
    </w:p>
    <w:p>
      <w:pPr>
        <w:pStyle w:val="ListBullet"/>
        <w:spacing w:after="40"/>
      </w:pPr>
      <w:r>
        <w:t>Identity: fourth variṣṭha sakhī; saffron-golden complexion; crystal-colored attire; twenty-six days younger than Rādhā; always rejoices in Mādhava's happiness. Father Catura, mother Carcikā, husband Pīṭhara (GD 88–89).</w:t>
      </w:r>
    </w:p>
    <w:p>
      <w:pPr>
        <w:spacing w:after="20"/>
        <w:ind w:left="403" w:right="259"/>
      </w:pPr>
      <w:r>
        <w:rPr>
          <w:i/>
          <w:sz w:val="18"/>
        </w:rPr>
        <w:t>citrā vicitra-cāturyā sarvatrāsau praveśinī / yāne 'bhisaraṇābhikhye ṣaḍ-guṇasya tṛtīyake ||177||</w:t>
      </w:r>
    </w:p>
    <w:p>
      <w:pPr>
        <w:spacing w:after="20"/>
        <w:ind w:left="403" w:right="259"/>
      </w:pPr>
      <w:r>
        <w:rPr>
          <w:sz w:val="18"/>
        </w:rPr>
        <w:t>Translation: Citrā is remarkably dexterous and especially skilled in yāna, one of the strategic expedients connected with rendezvous.</w:t>
      </w:r>
    </w:p>
    <w:p>
      <w:pPr>
        <w:spacing w:after="60"/>
        <w:ind w:left="403"/>
      </w:pPr>
      <w:r>
        <w:rPr>
          <w:b/>
          <w:sz w:val="16"/>
        </w:rPr>
        <w:t>Gaṇoddeśa-dīpikā 177</w:t>
      </w:r>
      <w:r>
        <w:rPr>
          <w:i/>
          <w:sz w:val="16"/>
        </w:rPr>
        <w:t xml:space="preserve"> — VERIFIED</w:t>
      </w:r>
    </w:p>
    <w:p>
      <w:pPr>
        <w:pStyle w:val="ListBullet"/>
        <w:spacing w:after="40"/>
      </w:pPr>
      <w:r>
        <w:t>GD 178–180: writing; gestural/sign communication; foreign languages; recognition of food and drink; crystal vessels and water-music; astrology; animal/tree care; sherbets and other drinks.</w:t>
      </w:r>
    </w:p>
    <w:p>
      <w:pPr>
        <w:pStyle w:val="ListBullet"/>
        <w:spacing w:after="40"/>
      </w:pPr>
      <w:r>
        <w:t>GD 181–182: supervises drink preparation, medicinal-herb gathering, nonflowering trees and forest/creeper care.</w:t>
      </w:r>
    </w:p>
    <w:p>
      <w:pPr>
        <w:pStyle w:val="ListBullet"/>
        <w:spacing w:after="40"/>
      </w:pPr>
      <w:r>
        <w:t>Rādhā-kuṇḍa significance: the eastern Citrānandada sector should eventually carry her service profile as annotation, but no specific drink episode there has yet been established.</w:t>
      </w:r>
    </w:p>
    <w:p>
      <w:pPr>
        <w:pStyle w:val="Heading1"/>
        <w:keepNext/>
      </w:pPr>
      <w:r>
        <w:t>9. Tuṅgavidyā — music, learning and performance</w:t>
      </w:r>
    </w:p>
    <w:p>
      <w:pPr>
        <w:pStyle w:val="ListBullet"/>
        <w:spacing w:after="40"/>
      </w:pPr>
      <w:r>
        <w:t>Identity: fifth variṣṭha sakhī; five days older than Rādhā; kuṅkuma complexion, camphor/sandal fragrance, light-yellow attire; dakṣiṇa-prakharā. Mother Medhā, father Puṣkara, husband Bāliśa (GD 90–91).</w:t>
      </w:r>
    </w:p>
    <w:p>
      <w:pPr>
        <w:spacing w:after="20"/>
        <w:ind w:left="403" w:right="259"/>
      </w:pPr>
      <w:r>
        <w:rPr>
          <w:i/>
          <w:sz w:val="18"/>
        </w:rPr>
        <w:t>tuṅgavidyā tu vidyānām aṣṭādaśatayaṁśitā / sandhāv atīva kuśalā kṛṣṇa-viśrambha-śālinī ||183||</w:t>
      </w:r>
    </w:p>
    <w:p>
      <w:pPr>
        <w:spacing w:after="20"/>
        <w:ind w:left="403" w:right="259"/>
      </w:pPr>
      <w:r>
        <w:rPr>
          <w:sz w:val="18"/>
        </w:rPr>
        <w:t>Translation: Tuṅgavidyā is versed in the eighteen branches of knowledge, highly skilled in arranging the Couple's meeting, and trusted by Kṛṣṇa.</w:t>
      </w:r>
    </w:p>
    <w:p>
      <w:pPr>
        <w:spacing w:after="60"/>
        <w:ind w:left="403"/>
      </w:pPr>
      <w:r>
        <w:rPr>
          <w:b/>
          <w:sz w:val="16"/>
        </w:rPr>
        <w:t>Gaṇoddeśa-dīpikā 183</w:t>
      </w:r>
      <w:r>
        <w:rPr>
          <w:i/>
          <w:sz w:val="16"/>
        </w:rPr>
        <w:t xml:space="preserve"> — VERIFIED</w:t>
      </w:r>
    </w:p>
    <w:p>
      <w:pPr>
        <w:pStyle w:val="ListBullet"/>
        <w:spacing w:after="40"/>
      </w:pPr>
      <w:r>
        <w:t>GD 184–185a: rasa-śāstra, nīti, drama, storytelling, Gandharva-vidyā, rāga/rāgiṇī and vīṇā.</w:t>
      </w:r>
    </w:p>
    <w:p>
      <w:pPr>
        <w:pStyle w:val="ListBullet"/>
        <w:spacing w:after="40"/>
      </w:pPr>
      <w:r>
        <w:t>GD 185b–187: supervises messengers skilled in sandhi, musicians, dancers, mṛdaṅga players, arts specialists and sakhīs who collect water from rivers and springs.</w:t>
      </w:r>
    </w:p>
    <w:p>
      <w:pPr>
        <w:pStyle w:val="ListBullet"/>
        <w:spacing w:after="40"/>
      </w:pPr>
      <w:r>
        <w:t>Rādhā-kuṇḍa significance: her western sector may be annotated with music/performance expertise; a precise local water-service equation is still unproven.</w:t>
      </w:r>
    </w:p>
    <w:p>
      <w:pPr>
        <w:pStyle w:val="Heading1"/>
        <w:keepNext/>
      </w:pPr>
      <w:r>
        <w:t>10. Indulekhā — confidential intelligence and place stewardship</w:t>
      </w:r>
    </w:p>
    <w:p>
      <w:pPr>
        <w:pStyle w:val="ListBullet"/>
        <w:spacing w:after="40"/>
      </w:pPr>
      <w:r>
        <w:t>Identity: sixth variṣṭha sakhī; bright-yellow complexion; pomegranate-red attire; three days younger than Rādhā; vāma-prakharā. Mother Belā, father Sāgara, husband Durvala (GD 92–93).</w:t>
      </w:r>
    </w:p>
    <w:p>
      <w:pPr>
        <w:pStyle w:val="ListBullet"/>
        <w:spacing w:after="40"/>
      </w:pPr>
      <w:r>
        <w:t>GD 188: expertise in nāga-tantra mantras and sāmudrika/physiognomic knowledge.</w:t>
      </w:r>
    </w:p>
    <w:p>
      <w:pPr>
        <w:pStyle w:val="ListBullet"/>
        <w:spacing w:after="40"/>
      </w:pPr>
      <w:r>
        <w:t>GD 189–190: necklaces, teeth decoration, jewel evaluation, silk ribbons, auspicious mantra diagrams, and stimulation of mutual attachment between Rādhā and Kṛṣṇa.</w:t>
      </w:r>
    </w:p>
    <w:p>
      <w:pPr>
        <w:pStyle w:val="ListBullet"/>
        <w:spacing w:after="40"/>
      </w:pPr>
      <w:r>
        <w:t>GD 191–193: leader of messengers who carry secret conversations; supervisor of ornaments, dress, treasury protection and attendants charged with the enchanting places of Vṛndāvana.</w:t>
      </w:r>
    </w:p>
    <w:p>
      <w:pPr>
        <w:pStyle w:val="ListBullet"/>
        <w:spacing w:after="40"/>
      </w:pPr>
      <w:r>
        <w:t>Rādhā-kuṇḍa significance: her south-eastern Pūrṇendu-kuñja is a white, concealment-rich environment. The resonance with her role as custodian of confidential information/places is interpretive and must be labeled as such.</w:t>
      </w:r>
    </w:p>
    <w:p>
      <w:pPr>
        <w:pStyle w:val="Heading1"/>
        <w:keepNext/>
      </w:pPr>
      <w:r>
        <w:t>11. Raṅgadevī — expressive gesture, fragrance and seasonal bodily service</w:t>
      </w:r>
    </w:p>
    <w:p>
      <w:pPr>
        <w:pStyle w:val="ListBullet"/>
        <w:spacing w:after="40"/>
      </w:pPr>
      <w:r>
        <w:t>Identity: seventh variṣṭha sakhī; lotus-pollen complexion, reddish garments; seven days younger than Rādhā; qualities similar to Campakalatā. Father Raṅgasāra, mother Karuṇā, husband Vakrekṣaṇa (GD 94–95).</w:t>
      </w:r>
    </w:p>
    <w:p>
      <w:pPr>
        <w:spacing w:after="20"/>
        <w:ind w:left="403" w:right="259"/>
      </w:pPr>
      <w:r>
        <w:rPr>
          <w:i/>
          <w:sz w:val="18"/>
        </w:rPr>
        <w:t>raṅgadevī sadottuṅgā hāveṅgita-taraṅgiṇī / kṛṣṇāgre 'pi priya-sakhī-narma-kautūhalotsukā ||194||</w:t>
      </w:r>
    </w:p>
    <w:p>
      <w:pPr>
        <w:spacing w:after="20"/>
        <w:ind w:left="403" w:right="259"/>
      </w:pPr>
      <w:r>
        <w:rPr>
          <w:sz w:val="18"/>
        </w:rPr>
        <w:t>Translation: Raṅgadevī is full of waves of expressive gesture and is eager to joke playfully with Rādhā even in Kṛṣṇa's presence.</w:t>
      </w:r>
    </w:p>
    <w:p>
      <w:pPr>
        <w:spacing w:after="60"/>
        <w:ind w:left="403"/>
      </w:pPr>
      <w:r>
        <w:rPr>
          <w:b/>
          <w:sz w:val="16"/>
        </w:rPr>
        <w:t>Gaṇoddeśa-dīpikā 194</w:t>
      </w:r>
      <w:r>
        <w:rPr>
          <w:i/>
          <w:sz w:val="16"/>
        </w:rPr>
        <w:t xml:space="preserve"> — VERIFIED</w:t>
      </w:r>
    </w:p>
    <w:p>
      <w:pPr>
        <w:pStyle w:val="ListBullet"/>
        <w:spacing w:after="40"/>
      </w:pPr>
      <w:r>
        <w:t>GD 196–198: supervises fragrant body decoration, incense, warming fires in winter, fanning in hot weather and care of forest animals.</w:t>
      </w:r>
    </w:p>
    <w:p>
      <w:pPr>
        <w:pStyle w:val="ListBullet"/>
        <w:spacing w:after="40"/>
      </w:pPr>
      <w:r>
        <w:t>Rādhā-kuṇḍa significance: her southwestern Śyāma-kuñja is organized around a dark concealment aesthetic; the service profile remains separately sourced from GD.</w:t>
      </w:r>
    </w:p>
    <w:p>
      <w:pPr>
        <w:pStyle w:val="Heading1"/>
        <w:keepNext/>
      </w:pPr>
      <w:r>
        <w:t>12. Sudevī — intimate attendance, reconnaissance and dice correspondence</w:t>
      </w:r>
    </w:p>
    <w:p>
      <w:pPr>
        <w:pStyle w:val="ListBullet"/>
        <w:spacing w:after="40"/>
      </w:pPr>
      <w:r>
        <w:t>Identity: eighth variṣṭha sakhī; twin sister of Raṅgadevī, gentle in nature and so similar to her sister that they may be mistaken for one another; married to the younger brother of Raṅgadevī's husband (GD 96).</w:t>
      </w:r>
    </w:p>
    <w:p>
      <w:pPr>
        <w:spacing w:after="20"/>
        <w:ind w:left="403" w:right="259"/>
      </w:pPr>
      <w:r>
        <w:rPr>
          <w:i/>
          <w:sz w:val="18"/>
        </w:rPr>
        <w:t>sudevī keśa-saṁskāraṁ priya-sakhyās tathāñjanam / aṅga-saṁvāhanaṁ cāsyāḥ kurvatī pārśva-gā sadā ||199||</w:t>
      </w:r>
    </w:p>
    <w:p>
      <w:pPr>
        <w:spacing w:after="20"/>
        <w:ind w:left="403" w:right="259"/>
      </w:pPr>
      <w:r>
        <w:rPr>
          <w:sz w:val="18"/>
        </w:rPr>
        <w:t>Translation: Sudevī remains close to Rādhā, arranges Her hair, applies añjana around Her eyes and massages Her limbs.</w:t>
      </w:r>
    </w:p>
    <w:p>
      <w:pPr>
        <w:spacing w:after="60"/>
        <w:ind w:left="403"/>
      </w:pPr>
      <w:r>
        <w:rPr>
          <w:b/>
          <w:sz w:val="16"/>
        </w:rPr>
        <w:t>Gaṇoddeśa-dīpikā 199</w:t>
      </w:r>
      <w:r>
        <w:rPr>
          <w:i/>
          <w:sz w:val="16"/>
        </w:rPr>
        <w:t xml:space="preserve"> — VERIFIED</w:t>
      </w:r>
    </w:p>
    <w:p>
      <w:pPr>
        <w:pStyle w:val="ListBullet"/>
        <w:spacing w:after="40"/>
      </w:pPr>
      <w:r>
        <w:t>GD 200–201: parrots, boat play, cock contests, omens, animal/bird language, moon-blooming flowers, firecraft/fireworks and oil massage.</w:t>
      </w:r>
    </w:p>
    <w:p>
      <w:pPr>
        <w:pStyle w:val="ListBullet"/>
        <w:spacing w:after="40"/>
      </w:pPr>
      <w:r>
        <w:t>GD 202–204: cushions and seats; disguises; surveillance/intelligence concerning the opposing party; forest birds and vana-devīs.</w:t>
      </w:r>
    </w:p>
    <w:p>
      <w:pPr>
        <w:pStyle w:val="ListBullet"/>
        <w:spacing w:after="40"/>
      </w:pPr>
      <w:r>
        <w:t>Rādhā-kuṇḍa significance: GL 7.98–99 defines her NW Harit-kuñja as an akṣa-keli/dice place; GL 18.25 explicitly takes the Couple to Sudevī-sukhada for dice; KBh 15.6 has Sudevī bring the dice apparatus. This is one of the strongest person-service-location convergences in the current corpus.</w:t>
      </w:r>
    </w:p>
    <w:p>
      <w:pPr>
        <w:pStyle w:val="Heading1"/>
        <w:keepNext/>
      </w:pPr>
      <w:r>
        <w:t>13. Each principal sakhī heads a subordinate service network</w:t>
      </w:r>
    </w:p>
    <w:p>
      <w:r>
        <w:t>GD 236 states that each of the eight parama-preṣṭha sakhīs is followed by an eightfold group. GD 242–249 names the principal eight under each leader. These lists demonstrate that the Rādhā-kuṇḍa mandala is a networked social structure, not eight isolated individuals.</w:t>
      </w:r>
    </w:p>
    <w:tbl>
      <w:tblPr>
        <w:tblStyle w:val="TableGrid"/>
        <w:tblW w:type="auto" w:w="0"/>
        <w:jc w:val="center"/>
        <w:tblLook w:firstColumn="1" w:firstRow="1" w:lastColumn="0" w:lastRow="0" w:noHBand="0" w:noVBand="1" w:val="04A0"/>
      </w:tblPr>
      <w:tblGrid>
        <w:gridCol w:w="5227"/>
        <w:gridCol w:w="5227"/>
      </w:tblGrid>
      <w:tr>
        <w:trPr>
          <w:tblHeader w:val="true"/>
          <w:tblHeader w:val="true"/>
        </w:trPr>
        <w:tc>
          <w:tcPr>
            <w:tcW w:type="dxa" w:w="5227"/>
            <w:vAlign w:val="top"/>
            <w:shd w:fill="E9EEF5"/>
          </w:tcPr>
          <w:p>
            <w:pPr>
              <w:spacing w:after="0"/>
            </w:pPr>
            <w:r/>
            <w:r>
              <w:rPr>
                <w:b/>
                <w:sz w:val="18"/>
              </w:rPr>
              <w:t>Leader</w:t>
            </w:r>
          </w:p>
        </w:tc>
        <w:tc>
          <w:tcPr>
            <w:tcW w:type="dxa" w:w="5227"/>
            <w:vAlign w:val="top"/>
            <w:shd w:fill="E9EEF5"/>
          </w:tcPr>
          <w:p>
            <w:pPr>
              <w:spacing w:after="0"/>
            </w:pPr>
            <w:r/>
            <w:r>
              <w:rPr>
                <w:b/>
                <w:sz w:val="18"/>
              </w:rPr>
              <w:t>Eight prominent sakhīs under her guidance</w:t>
            </w:r>
          </w:p>
        </w:tc>
      </w:tr>
      <w:tr>
        <w:tc>
          <w:tcPr>
            <w:tcW w:type="dxa" w:w="5227"/>
            <w:vAlign w:val="top"/>
          </w:tcPr>
          <w:p>
            <w:pPr>
              <w:spacing w:after="0"/>
            </w:pPr>
            <w:r/>
            <w:r>
              <w:rPr>
                <w:b w:val="0"/>
                <w:sz w:val="16"/>
              </w:rPr>
              <w:t>Lalitā — GD 242</w:t>
            </w:r>
          </w:p>
        </w:tc>
        <w:tc>
          <w:tcPr>
            <w:tcW w:type="dxa" w:w="5227"/>
            <w:vAlign w:val="top"/>
          </w:tcPr>
          <w:p>
            <w:pPr>
              <w:spacing w:after="0"/>
            </w:pPr>
            <w:r/>
            <w:r>
              <w:rPr>
                <w:b w:val="0"/>
                <w:sz w:val="16"/>
              </w:rPr>
              <w:t>Ratnaprabhā, Ratikalā, Subhadrā, Ratikā, Sumukhī, Dhaniṣṭhā, Kalahaṁsī, Kalāpinī</w:t>
            </w:r>
          </w:p>
        </w:tc>
      </w:tr>
      <w:tr>
        <w:tc>
          <w:tcPr>
            <w:tcW w:type="dxa" w:w="5227"/>
            <w:vAlign w:val="top"/>
          </w:tcPr>
          <w:p>
            <w:pPr>
              <w:spacing w:after="0"/>
            </w:pPr>
            <w:r/>
            <w:r>
              <w:rPr>
                <w:b w:val="0"/>
                <w:sz w:val="16"/>
              </w:rPr>
              <w:t>Viśākhā — GD 243</w:t>
            </w:r>
          </w:p>
        </w:tc>
        <w:tc>
          <w:tcPr>
            <w:tcW w:type="dxa" w:w="5227"/>
            <w:vAlign w:val="top"/>
          </w:tcPr>
          <w:p>
            <w:pPr>
              <w:spacing w:after="0"/>
            </w:pPr>
            <w:r/>
            <w:r>
              <w:rPr>
                <w:b w:val="0"/>
                <w:sz w:val="16"/>
              </w:rPr>
              <w:t>Mādhavī, Mālatī, Candrarekhikā, Kuñjarī, Hariṇī, Capalā, Surabhi, Śubhānanā</w:t>
            </w:r>
          </w:p>
        </w:tc>
      </w:tr>
      <w:tr>
        <w:tc>
          <w:tcPr>
            <w:tcW w:type="dxa" w:w="5227"/>
            <w:vAlign w:val="top"/>
          </w:tcPr>
          <w:p>
            <w:pPr>
              <w:spacing w:after="0"/>
            </w:pPr>
            <w:r/>
            <w:r>
              <w:rPr>
                <w:b w:val="0"/>
                <w:sz w:val="16"/>
              </w:rPr>
              <w:t>Campakalatā — GD 244</w:t>
            </w:r>
          </w:p>
        </w:tc>
        <w:tc>
          <w:tcPr>
            <w:tcW w:type="dxa" w:w="5227"/>
            <w:vAlign w:val="top"/>
          </w:tcPr>
          <w:p>
            <w:pPr>
              <w:spacing w:after="0"/>
            </w:pPr>
            <w:r/>
            <w:r>
              <w:rPr>
                <w:b w:val="0"/>
                <w:sz w:val="16"/>
              </w:rPr>
              <w:t>Kuraṅgākṣī, Sucaritā, Maṇḍalī, Maṇikuṇḍalā, Candrikā, Candralatikā, Paṅkajākṣī, Sumandirā</w:t>
            </w:r>
          </w:p>
        </w:tc>
      </w:tr>
      <w:tr>
        <w:tc>
          <w:tcPr>
            <w:tcW w:type="dxa" w:w="5227"/>
            <w:vAlign w:val="top"/>
          </w:tcPr>
          <w:p>
            <w:pPr>
              <w:spacing w:after="0"/>
            </w:pPr>
            <w:r/>
            <w:r>
              <w:rPr>
                <w:b w:val="0"/>
                <w:sz w:val="16"/>
              </w:rPr>
              <w:t>Citrā — GD 245</w:t>
            </w:r>
          </w:p>
        </w:tc>
        <w:tc>
          <w:tcPr>
            <w:tcW w:type="dxa" w:w="5227"/>
            <w:vAlign w:val="top"/>
          </w:tcPr>
          <w:p>
            <w:pPr>
              <w:spacing w:after="0"/>
            </w:pPr>
            <w:r/>
            <w:r>
              <w:rPr>
                <w:b w:val="0"/>
                <w:sz w:val="16"/>
              </w:rPr>
              <w:t>Rasālikā, Tilakinī, Śaurasenī, Sugandhikā, Rāmiṇī, Kāmanagarī, Nāgarī, Nāgaveṇikā</w:t>
            </w:r>
          </w:p>
        </w:tc>
      </w:tr>
      <w:tr>
        <w:tc>
          <w:tcPr>
            <w:tcW w:type="dxa" w:w="5227"/>
            <w:vAlign w:val="top"/>
          </w:tcPr>
          <w:p>
            <w:pPr>
              <w:spacing w:after="0"/>
            </w:pPr>
            <w:r/>
            <w:r>
              <w:rPr>
                <w:b w:val="0"/>
                <w:sz w:val="16"/>
              </w:rPr>
              <w:t>Tuṅgavidyā — GD 246</w:t>
            </w:r>
          </w:p>
        </w:tc>
        <w:tc>
          <w:tcPr>
            <w:tcW w:type="dxa" w:w="5227"/>
            <w:vAlign w:val="top"/>
          </w:tcPr>
          <w:p>
            <w:pPr>
              <w:spacing w:after="0"/>
            </w:pPr>
            <w:r/>
            <w:r>
              <w:rPr>
                <w:b w:val="0"/>
                <w:sz w:val="16"/>
              </w:rPr>
              <w:t>Mañjumedhā, Sumadhurā, Sumadhyā, Madhurekṣaṇā, Tanumadhyā, Madhuspandā, Guṇacūḍā, Varāṅgadā</w:t>
            </w:r>
          </w:p>
        </w:tc>
      </w:tr>
      <w:tr>
        <w:tc>
          <w:tcPr>
            <w:tcW w:type="dxa" w:w="5227"/>
            <w:vAlign w:val="top"/>
          </w:tcPr>
          <w:p>
            <w:pPr>
              <w:spacing w:after="0"/>
            </w:pPr>
            <w:r/>
            <w:r>
              <w:rPr>
                <w:b w:val="0"/>
                <w:sz w:val="16"/>
              </w:rPr>
              <w:t>Indulekhā — GD 247</w:t>
            </w:r>
          </w:p>
        </w:tc>
        <w:tc>
          <w:tcPr>
            <w:tcW w:type="dxa" w:w="5227"/>
            <w:vAlign w:val="top"/>
          </w:tcPr>
          <w:p>
            <w:pPr>
              <w:spacing w:after="0"/>
            </w:pPr>
            <w:r/>
            <w:r>
              <w:rPr>
                <w:b w:val="0"/>
                <w:sz w:val="16"/>
              </w:rPr>
              <w:t>Tuṅgabhadrā, Rasottuṅgā, Raṅgavāṭī, Susaṅgatā, Citrārekhā, Vicitrāṅgī, Modanī, Madanālasā</w:t>
            </w:r>
          </w:p>
        </w:tc>
      </w:tr>
      <w:tr>
        <w:tc>
          <w:tcPr>
            <w:tcW w:type="dxa" w:w="5227"/>
            <w:vAlign w:val="top"/>
          </w:tcPr>
          <w:p>
            <w:pPr>
              <w:spacing w:after="0"/>
            </w:pPr>
            <w:r/>
            <w:r>
              <w:rPr>
                <w:b w:val="0"/>
                <w:sz w:val="16"/>
              </w:rPr>
              <w:t>Raṅgadevī — GD 248</w:t>
            </w:r>
          </w:p>
        </w:tc>
        <w:tc>
          <w:tcPr>
            <w:tcW w:type="dxa" w:w="5227"/>
            <w:vAlign w:val="top"/>
          </w:tcPr>
          <w:p>
            <w:pPr>
              <w:spacing w:after="0"/>
            </w:pPr>
            <w:r/>
            <w:r>
              <w:rPr>
                <w:b w:val="0"/>
                <w:sz w:val="16"/>
              </w:rPr>
              <w:t>Kalakaṇṭhī, Śaśikalā, Kamalā, Madhurā, Indirā, Kandarpa-sundarī, Kāmalatikā, Prema Mañjarī</w:t>
            </w:r>
          </w:p>
        </w:tc>
      </w:tr>
      <w:tr>
        <w:tc>
          <w:tcPr>
            <w:tcW w:type="dxa" w:w="5227"/>
            <w:vAlign w:val="top"/>
          </w:tcPr>
          <w:p>
            <w:pPr>
              <w:spacing w:after="0"/>
            </w:pPr>
            <w:r/>
            <w:r>
              <w:rPr>
                <w:b w:val="0"/>
                <w:sz w:val="16"/>
              </w:rPr>
              <w:t>Sudevī — GD 249</w:t>
            </w:r>
          </w:p>
        </w:tc>
        <w:tc>
          <w:tcPr>
            <w:tcW w:type="dxa" w:w="5227"/>
            <w:vAlign w:val="top"/>
          </w:tcPr>
          <w:p>
            <w:pPr>
              <w:spacing w:after="0"/>
            </w:pPr>
            <w:r/>
            <w:r>
              <w:rPr>
                <w:b w:val="0"/>
                <w:sz w:val="16"/>
              </w:rPr>
              <w:t>Kāverī, Cārukavarā, Sukeśī, Mañjukeśikā, Hārahīrā, Mahāhīrā, Hārakaṇṭhī, Manoharā</w:t>
            </w:r>
          </w:p>
        </w:tc>
      </w:tr>
    </w:tbl>
    <w:p>
      <w:pPr>
        <w:pStyle w:val="Heading1"/>
        <w:keepNext/>
      </w:pPr>
      <w:r>
        <w:t>14. The social architecture beneath the eight sectors</w:t>
      </w:r>
    </w:p>
    <w:p>
      <w:r>
        <w:t>The current evidence suggests the following working social model for the Rādhā-kuṇḍa environment. This is a synthesis of source structures, not a single quoted diagram:</w:t>
      </w:r>
    </w:p>
    <w:p>
      <w:pPr>
        <w:pStyle w:val="ListBullet"/>
        <w:spacing w:after="40"/>
      </w:pPr>
      <w:r>
        <w:t>Rādhā and Kṛṣṇa — the central Divine Couple.</w:t>
      </w:r>
    </w:p>
    <w:p>
      <w:pPr>
        <w:pStyle w:val="ListBullet"/>
        <w:spacing w:after="40"/>
      </w:pPr>
      <w:r>
        <w:t>Eight variṣṭha / parama-preṣṭha sakhī administrators — principal directional service authorities.</w:t>
      </w:r>
    </w:p>
    <w:p>
      <w:pPr>
        <w:pStyle w:val="ListBullet"/>
        <w:spacing w:after="40"/>
      </w:pPr>
      <w:r>
        <w:t>Each principal sakhī's named subordinate group — localized service networks.</w:t>
      </w:r>
    </w:p>
    <w:p>
      <w:pPr>
        <w:pStyle w:val="ListBullet"/>
        <w:spacing w:after="40"/>
      </w:pPr>
      <w:r>
        <w:t>Messengers, vana-devīs, vegetation/water/garment/food/performance specialists — assigned under different senior sakhīs.</w:t>
      </w:r>
    </w:p>
    <w:p>
      <w:pPr>
        <w:pStyle w:val="ListBullet"/>
        <w:spacing w:after="40"/>
      </w:pPr>
      <w:r>
        <w:t>Mañjarīs and intimate maidservants / kuñja-dāsīs — the next research layer, performing very intimate attendance.</w:t>
      </w:r>
    </w:p>
    <w:p>
      <w:pPr>
        <w:pStyle w:val="ListBullet"/>
        <w:spacing w:after="40"/>
      </w:pPr>
      <w:r>
        <w:t>On the Śyāma/Ariṣṭa-kuṇḍa side, the parallel confidential male network is formed by the priya-narma-sakhās.</w:t>
      </w:r>
    </w:p>
    <w:p>
      <w:pPr>
        <w:pStyle w:val="Heading1"/>
        <w:keepNext/>
      </w:pPr>
      <w:r>
        <w:t>15. What is explicit and what is interpretation</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Reason</w:t>
            </w:r>
          </w:p>
        </w:tc>
      </w:tr>
      <w:tr>
        <w:tc>
          <w:tcPr>
            <w:tcW w:type="dxa" w:w="3485"/>
            <w:vAlign w:val="top"/>
          </w:tcPr>
          <w:p>
            <w:pPr>
              <w:spacing w:after="0"/>
            </w:pPr>
            <w:r/>
            <w:r>
              <w:rPr>
                <w:b w:val="0"/>
                <w:sz w:val="16"/>
              </w:rPr>
              <w:t>The eight principal sakhīs have distinct specialist service portfolios.</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GD 129–204.</w:t>
            </w:r>
          </w:p>
        </w:tc>
      </w:tr>
      <w:tr>
        <w:tc>
          <w:tcPr>
            <w:tcW w:type="dxa" w:w="3485"/>
            <w:vAlign w:val="top"/>
          </w:tcPr>
          <w:p>
            <w:pPr>
              <w:spacing w:after="0"/>
            </w:pPr>
            <w:r/>
            <w:r>
              <w:rPr>
                <w:b w:val="0"/>
                <w:sz w:val="16"/>
              </w:rPr>
              <w:t>The eight are mapped directionally around Rādhā-kuṇḍa.</w:t>
            </w:r>
          </w:p>
        </w:tc>
        <w:tc>
          <w:tcPr>
            <w:tcW w:type="dxa" w:w="3485"/>
            <w:vAlign w:val="top"/>
          </w:tcPr>
          <w:p>
            <w:pPr>
              <w:spacing w:after="0"/>
            </w:pPr>
            <w:r/>
            <w:r>
              <w:rPr>
                <w:b w:val="0"/>
                <w:sz w:val="16"/>
              </w:rPr>
              <w:t>EXPLICIT A-level</w:t>
            </w:r>
          </w:p>
        </w:tc>
        <w:tc>
          <w:tcPr>
            <w:tcW w:type="dxa" w:w="3485"/>
            <w:vAlign w:val="top"/>
          </w:tcPr>
          <w:p>
            <w:pPr>
              <w:spacing w:after="0"/>
            </w:pPr>
            <w:r/>
            <w:r>
              <w:rPr>
                <w:b w:val="0"/>
                <w:sz w:val="16"/>
              </w:rPr>
              <w:t>GL 7.27–99; KBh 14.10 corroborates the order.</w:t>
            </w:r>
          </w:p>
        </w:tc>
      </w:tr>
      <w:tr>
        <w:tc>
          <w:tcPr>
            <w:tcW w:type="dxa" w:w="3485"/>
            <w:vAlign w:val="top"/>
          </w:tcPr>
          <w:p>
            <w:pPr>
              <w:spacing w:after="0"/>
            </w:pPr>
            <w:r/>
            <w:r>
              <w:rPr>
                <w:b w:val="0"/>
                <w:sz w:val="16"/>
              </w:rPr>
              <w:t>Lalitā's northern sector is largest because she is supreme superintendent.</w:t>
            </w:r>
          </w:p>
        </w:tc>
        <w:tc>
          <w:tcPr>
            <w:tcW w:type="dxa" w:w="3485"/>
            <w:vAlign w:val="top"/>
          </w:tcPr>
          <w:p>
            <w:pPr>
              <w:spacing w:after="0"/>
            </w:pPr>
            <w:r/>
            <w:r>
              <w:rPr>
                <w:b w:val="0"/>
                <w:sz w:val="16"/>
              </w:rPr>
              <w:t>INTERPRETIVE but strongly grounded</w:t>
            </w:r>
          </w:p>
        </w:tc>
        <w:tc>
          <w:tcPr>
            <w:tcW w:type="dxa" w:w="3485"/>
            <w:vAlign w:val="top"/>
          </w:tcPr>
          <w:p>
            <w:pPr>
              <w:spacing w:after="0"/>
            </w:pPr>
            <w:r/>
            <w:r>
              <w:rPr>
                <w:b w:val="0"/>
                <w:sz w:val="16"/>
              </w:rPr>
              <w:t>GD 129 + GL's disproportionate Lalitā section; no verse explicitly states the causal sentence.</w:t>
            </w:r>
          </w:p>
        </w:tc>
      </w:tr>
      <w:tr>
        <w:tc>
          <w:tcPr>
            <w:tcW w:type="dxa" w:w="3485"/>
            <w:vAlign w:val="top"/>
          </w:tcPr>
          <w:p>
            <w:pPr>
              <w:spacing w:after="0"/>
            </w:pPr>
            <w:r/>
            <w:r>
              <w:rPr>
                <w:b w:val="0"/>
                <w:sz w:val="16"/>
              </w:rPr>
              <w:t>Campakalatā's cooking identity corresponds to the southern kuñja kitchen.</w:t>
            </w:r>
          </w:p>
        </w:tc>
        <w:tc>
          <w:tcPr>
            <w:tcW w:type="dxa" w:w="3485"/>
            <w:vAlign w:val="top"/>
          </w:tcPr>
          <w:p>
            <w:pPr>
              <w:spacing w:after="0"/>
            </w:pPr>
            <w:r/>
            <w:r>
              <w:rPr>
                <w:b w:val="0"/>
                <w:sz w:val="16"/>
              </w:rPr>
              <w:t>DIRECT CROSS-TEXT CORRESPONDENCE</w:t>
            </w:r>
          </w:p>
        </w:tc>
        <w:tc>
          <w:tcPr>
            <w:tcW w:type="dxa" w:w="3485"/>
            <w:vAlign w:val="top"/>
          </w:tcPr>
          <w:p>
            <w:pPr>
              <w:spacing w:after="0"/>
            </w:pPr>
            <w:r/>
            <w:r>
              <w:rPr>
                <w:b w:val="0"/>
                <w:sz w:val="16"/>
              </w:rPr>
              <w:t>GD 173–176 + GL 7.90–92.</w:t>
            </w:r>
          </w:p>
        </w:tc>
      </w:tr>
      <w:tr>
        <w:tc>
          <w:tcPr>
            <w:tcW w:type="dxa" w:w="3485"/>
            <w:vAlign w:val="top"/>
          </w:tcPr>
          <w:p>
            <w:pPr>
              <w:spacing w:after="0"/>
            </w:pPr>
            <w:r/>
            <w:r>
              <w:rPr>
                <w:b w:val="0"/>
                <w:sz w:val="16"/>
              </w:rPr>
              <w:t>Sudevī's service identity corresponds to the NW dice sector.</w:t>
            </w:r>
          </w:p>
        </w:tc>
        <w:tc>
          <w:tcPr>
            <w:tcW w:type="dxa" w:w="3485"/>
            <w:vAlign w:val="top"/>
          </w:tcPr>
          <w:p>
            <w:pPr>
              <w:spacing w:after="0"/>
            </w:pPr>
            <w:r/>
            <w:r>
              <w:rPr>
                <w:b w:val="0"/>
                <w:sz w:val="16"/>
              </w:rPr>
              <w:t>STRONG CROSS-TEXT CORRESPONDENCE</w:t>
            </w:r>
          </w:p>
        </w:tc>
        <w:tc>
          <w:tcPr>
            <w:tcW w:type="dxa" w:w="3485"/>
            <w:vAlign w:val="top"/>
          </w:tcPr>
          <w:p>
            <w:pPr>
              <w:spacing w:after="0"/>
            </w:pPr>
            <w:r/>
            <w:r>
              <w:rPr>
                <w:b w:val="0"/>
                <w:sz w:val="16"/>
              </w:rPr>
              <w:t>GD 199–204 + GL 7.98–99 and 18.25 + KBh 15.6.</w:t>
            </w:r>
          </w:p>
        </w:tc>
      </w:tr>
      <w:tr>
        <w:tc>
          <w:tcPr>
            <w:tcW w:type="dxa" w:w="3485"/>
            <w:vAlign w:val="top"/>
          </w:tcPr>
          <w:p>
            <w:pPr>
              <w:spacing w:after="0"/>
            </w:pPr>
            <w:r/>
            <w:r>
              <w:rPr>
                <w:b w:val="0"/>
                <w:sz w:val="16"/>
              </w:rPr>
              <w:t>Indulekhā's secret-place stewardship explains Pūrṇendu-kuñja's concealment aesthetic.</w:t>
            </w:r>
          </w:p>
        </w:tc>
        <w:tc>
          <w:tcPr>
            <w:tcW w:type="dxa" w:w="3485"/>
            <w:vAlign w:val="top"/>
          </w:tcPr>
          <w:p>
            <w:pPr>
              <w:spacing w:after="0"/>
            </w:pPr>
            <w:r/>
            <w:r>
              <w:rPr>
                <w:b w:val="0"/>
                <w:sz w:val="16"/>
              </w:rPr>
              <w:t>INTERPRETIVE</w:t>
            </w:r>
          </w:p>
        </w:tc>
        <w:tc>
          <w:tcPr>
            <w:tcW w:type="dxa" w:w="3485"/>
            <w:vAlign w:val="top"/>
          </w:tcPr>
          <w:p>
            <w:pPr>
              <w:spacing w:after="0"/>
            </w:pPr>
            <w:r/>
            <w:r>
              <w:rPr>
                <w:b w:val="0"/>
                <w:sz w:val="16"/>
              </w:rPr>
              <w:t>The sources separately support each datum; causal relation is not stated.</w:t>
            </w:r>
          </w:p>
        </w:tc>
      </w:tr>
      <w:tr>
        <w:tc>
          <w:tcPr>
            <w:tcW w:type="dxa" w:w="3485"/>
            <w:vAlign w:val="top"/>
          </w:tcPr>
          <w:p>
            <w:pPr>
              <w:spacing w:after="0"/>
            </w:pPr>
            <w:r/>
            <w:r>
              <w:rPr>
                <w:b w:val="0"/>
                <w:sz w:val="16"/>
              </w:rPr>
              <w:t>A modern property or shrine called a sakhī-kuñja is identical with the eternal directional grove.</w:t>
            </w:r>
          </w:p>
        </w:tc>
        <w:tc>
          <w:tcPr>
            <w:tcW w:type="dxa" w:w="3485"/>
            <w:vAlign w:val="top"/>
          </w:tcPr>
          <w:p>
            <w:pPr>
              <w:spacing w:after="0"/>
            </w:pPr>
            <w:r/>
            <w:r>
              <w:rPr>
                <w:b w:val="0"/>
                <w:sz w:val="16"/>
              </w:rPr>
              <w:t>UNPROVEN / MODERN-LOCALIZATION OPEN</w:t>
            </w:r>
          </w:p>
        </w:tc>
        <w:tc>
          <w:tcPr>
            <w:tcW w:type="dxa" w:w="3485"/>
            <w:vAlign w:val="top"/>
          </w:tcPr>
          <w:p>
            <w:pPr>
              <w:spacing w:after="0"/>
            </w:pPr>
            <w:r/>
            <w:r>
              <w:rPr>
                <w:b w:val="0"/>
                <w:sz w:val="16"/>
              </w:rPr>
              <w:t>Requires B/C/D evidence independent of the nitya-līlā texts.</w:t>
            </w:r>
          </w:p>
        </w:tc>
      </w:tr>
    </w:tbl>
    <w:p>
      <w:pPr>
        <w:pStyle w:val="Heading1"/>
        <w:keepNext/>
      </w:pPr>
      <w:r>
        <w:t>16. Next RK-03 research block</w:t>
      </w:r>
    </w:p>
    <w:p>
      <w:r>
        <w:t>Move one level inward from the eight senior administrators to the intimate service circle:</w:t>
      </w:r>
    </w:p>
    <w:p>
      <w:pPr>
        <w:pStyle w:val="ListBullet"/>
        <w:spacing w:after="40"/>
      </w:pPr>
      <w:r>
        <w:t>Anaṅga Mañjarī — already a named vara-sakhī in GD 121–122 and the central Salila-kamala-sadma associate in GL 7.100–101.</w:t>
      </w:r>
    </w:p>
    <w:p>
      <w:pPr>
        <w:pStyle w:val="ListBullet"/>
        <w:spacing w:after="40"/>
      </w:pPr>
      <w:r>
        <w:t>Rūpa Mañjarī and Rati Mañjarī — explicitly named in Govinda-līlāmṛta commentary as paradigms of daily prema-sevā; exact Gaṇoddeśa entries and service passages to extract.</w:t>
      </w:r>
    </w:p>
    <w:p>
      <w:pPr>
        <w:pStyle w:val="ListBullet"/>
        <w:spacing w:after="40"/>
      </w:pPr>
      <w:r>
        <w:t>Tulasī and other named mañjarīs / kuñja-dāsīs — identify exact loci, hierarchy and Rādhā-kuṇḍa-specific services.</w:t>
      </w:r>
    </w:p>
    <w:p>
      <w:pPr>
        <w:pStyle w:val="ListBullet"/>
        <w:spacing w:after="40"/>
      </w:pPr>
      <w:r>
        <w:t>Then Vṛndā, Kundalatā, Nandīmukhī and Paurṇamāsī — the orchestration/messenger/environmental network.</w:t>
      </w:r>
    </w:p>
    <w:p>
      <w:pPr>
        <w:pStyle w:val="ListBullet"/>
        <w:spacing w:after="40"/>
      </w:pPr>
      <w:r>
        <w:t>Then Subala, Madhumaṅgala, Ujjvala and other priya-narma-sakhās — the confidential Śyāma-kuṇḍa-side network.</w:t>
      </w:r>
    </w:p>
    <w:p>
      <w:pPr>
        <w:pStyle w:val="ListBullet"/>
        <w:spacing w:after="40"/>
      </w:pPr>
      <w:r>
        <w:t>Finally Jatilā, Mukharā and relevant elders — the public-social constraints and cover mechanisms that shape the route.</w:t>
      </w:r>
    </w:p>
    <w:p>
      <w:pPr>
        <w:pStyle w:val="Heading1"/>
        <w:keepNext/>
      </w:pPr>
      <w:r>
        <w:t>17. Source witnesses used for this checkpoint</w:t>
      </w:r>
    </w:p>
    <w:p>
      <w:pPr>
        <w:pStyle w:val="ListBullet"/>
        <w:spacing w:after="40"/>
      </w:pPr>
      <w:r>
        <w:t>Rūpa Gosvāmī, Rādhā-Kṛṣṇa-gaṇoddeśa-dīpikā, Bṛhad-bhāga 3–5, 76–96, 123–204, 236, 242–249 — principal source.</w:t>
      </w:r>
    </w:p>
    <w:p>
      <w:pPr>
        <w:pStyle w:val="ListBullet"/>
        <w:spacing w:after="40"/>
      </w:pPr>
      <w:r>
        <w:t>Kṛṣṇadāsa Kavirāja, Govinda-līlāmṛta, especially Sarga 7 and GL 18.25 — directional sacred geography and explicit dice-site correspondence.</w:t>
      </w:r>
    </w:p>
    <w:p>
      <w:pPr>
        <w:pStyle w:val="ListBullet"/>
        <w:spacing w:after="40"/>
      </w:pPr>
      <w:r>
        <w:t>Viśvanātha Cakravartī, Kṛṣṇa-bhāvanāmṛta, especially 14.10 and 15.6–7 — directional corroboration and service-role comparison.</w:t>
      </w:r>
    </w:p>
    <w:p>
      <w:pPr>
        <w:pStyle w:val="ListBullet"/>
        <w:spacing w:after="40"/>
      </w:pPr>
      <w:r>
        <w:t>RK-02 v0.2 — current verified nitya-līlā/geography ledger used only as the cross-reference layer, not as a substitute for the primary sources.</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RK-03 People of the Rādhā-kuṇḍa Landscape • Research Ledger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