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16" w:rsidRDefault="00E27FCA" w:rsidP="007C0916">
      <w:pPr>
        <w:pStyle w:val="Title"/>
      </w:pPr>
      <w:r>
        <w:t>Topics in Computational Neuroscience 2017: Networks Tuning</w:t>
      </w:r>
    </w:p>
    <w:p w:rsidR="002A45A6" w:rsidRDefault="002A45A6" w:rsidP="000A69F3">
      <w:pPr>
        <w:pStyle w:val="Heading1"/>
      </w:pPr>
      <w:r>
        <w:t>Course description</w:t>
      </w:r>
    </w:p>
    <w:p w:rsidR="003552B3" w:rsidRDefault="003552B3" w:rsidP="00EF6B9E">
      <w:pPr>
        <w:pStyle w:val="Heading2"/>
        <w:rPr>
          <w:rFonts w:asciiTheme="minorHAnsi" w:eastAsiaTheme="minorHAnsi" w:hAnsiTheme="minorHAnsi" w:cstheme="minorBidi"/>
          <w:b w:val="0"/>
          <w:bCs w:val="0"/>
          <w:color w:val="auto"/>
          <w:sz w:val="22"/>
          <w:szCs w:val="22"/>
        </w:rPr>
      </w:pPr>
      <w:r w:rsidRPr="003552B3">
        <w:rPr>
          <w:rFonts w:asciiTheme="minorHAnsi" w:eastAsiaTheme="minorHAnsi" w:hAnsiTheme="minorHAnsi" w:cstheme="minorBidi"/>
          <w:b w:val="0"/>
          <w:bCs w:val="0"/>
          <w:color w:val="auto"/>
          <w:sz w:val="22"/>
          <w:szCs w:val="22"/>
        </w:rPr>
        <w:t>We know that brains consist of multiple functional regions that each host multiple neural networks, which in turn are built of anything from dozens to millions of neural cells. To understand how brains work we need, among other things, to know how individual neurons within each of these networks are connected (at least statistically speaking), and how their properties are tuned to make the network function as it should. In this seminar course you will read and present primary papers that use imaging, electrophysiology, advanced statistical analysis, and modeling to study how neural networks are tuned and shaped in various biological systems. For the final assignment you will have a choice between a mini-project on data analysis and a short review paper. The course is recommended for upper college students with neuroscience or/and computational background</w:t>
      </w:r>
    </w:p>
    <w:p w:rsidR="00EF6B9E" w:rsidRDefault="00EF6B9E" w:rsidP="00EF6B9E">
      <w:pPr>
        <w:pStyle w:val="Heading2"/>
      </w:pPr>
      <w:r>
        <w:t>Ways of communication</w:t>
      </w:r>
    </w:p>
    <w:p w:rsidR="009B57D2" w:rsidRPr="009B57D2" w:rsidRDefault="009B57D2" w:rsidP="009B57D2">
      <w:r>
        <w:t xml:space="preserve">e-mail: </w:t>
      </w:r>
      <w:hyperlink r:id="rId7" w:history="1">
        <w:r w:rsidRPr="00290DD7">
          <w:rPr>
            <w:rStyle w:val="Hyperlink"/>
          </w:rPr>
          <w:t>khakhalin@bard.edu</w:t>
        </w:r>
      </w:hyperlink>
      <w:r>
        <w:t xml:space="preserve"> ; office: RKC 21</w:t>
      </w:r>
      <w:r w:rsidR="00484C7E">
        <w:t>5</w:t>
      </w:r>
      <w:r>
        <w:t xml:space="preserve">; </w:t>
      </w:r>
      <w:proofErr w:type="spellStart"/>
      <w:r>
        <w:t>tel</w:t>
      </w:r>
      <w:proofErr w:type="spellEnd"/>
      <w:r>
        <w:t xml:space="preserve">: </w:t>
      </w:r>
      <w:r w:rsidRPr="009B57D2">
        <w:t>(845) 752-2333</w:t>
      </w:r>
    </w:p>
    <w:p w:rsidR="00EF6B9E" w:rsidRDefault="00EF6B9E" w:rsidP="00EF6B9E">
      <w:r>
        <w:t xml:space="preserve">E-mail is the main way of </w:t>
      </w:r>
      <w:r w:rsidR="009B57D2">
        <w:t xml:space="preserve">out-of-class </w:t>
      </w:r>
      <w:r>
        <w:t xml:space="preserve">communication </w:t>
      </w:r>
      <w:r w:rsidR="009B57D2">
        <w:t>for this course.</w:t>
      </w:r>
      <w:r>
        <w:t xml:space="preserve">  Make sure to check </w:t>
      </w:r>
      <w:r w:rsidR="009B57D2">
        <w:t xml:space="preserve">your mail </w:t>
      </w:r>
      <w:r>
        <w:t xml:space="preserve">regularly. Under normal circumstances all assignments (lab reports, grant proposals) should be uploaded to </w:t>
      </w:r>
      <w:proofErr w:type="spellStart"/>
      <w:r>
        <w:t>Moodle</w:t>
      </w:r>
      <w:proofErr w:type="spellEnd"/>
      <w:r>
        <w:t>.</w:t>
      </w:r>
      <w:r w:rsidR="00AB022A">
        <w:t xml:space="preserve"> There is no textbook associated with this course.</w:t>
      </w:r>
    </w:p>
    <w:p w:rsidR="00D71C76" w:rsidRPr="009B57D2" w:rsidRDefault="00D71C76" w:rsidP="00D71C76">
      <w:r>
        <w:rPr>
          <w:b/>
        </w:rPr>
        <w:t xml:space="preserve">Office hours: </w:t>
      </w:r>
      <w:r>
        <w:t>Wed 1-2:30, Fri 11-12:30.</w:t>
      </w:r>
    </w:p>
    <w:p w:rsidR="00384089" w:rsidRDefault="00384089" w:rsidP="00C1154B">
      <w:pPr>
        <w:pStyle w:val="Heading1"/>
      </w:pPr>
      <w:r>
        <w:t>Goals of the course</w:t>
      </w:r>
    </w:p>
    <w:p w:rsidR="007945D8" w:rsidRPr="007945D8" w:rsidRDefault="007945D8" w:rsidP="007945D8">
      <w:r>
        <w:t>By t</w:t>
      </w:r>
      <w:r w:rsidR="00315537">
        <w:t>he end of this course you will</w:t>
      </w:r>
      <w:r>
        <w:t>:</w:t>
      </w:r>
    </w:p>
    <w:p w:rsidR="007945D8" w:rsidRDefault="002C6717" w:rsidP="00384089">
      <w:pPr>
        <w:pStyle w:val="ListParagraph"/>
        <w:numPr>
          <w:ilvl w:val="0"/>
          <w:numId w:val="9"/>
        </w:numPr>
      </w:pPr>
      <w:r>
        <w:t xml:space="preserve">Have a good idea </w:t>
      </w:r>
      <w:r w:rsidR="003534F8">
        <w:t xml:space="preserve">about the </w:t>
      </w:r>
      <w:r w:rsidR="00277515">
        <w:t>spirit of data-ri</w:t>
      </w:r>
      <w:r>
        <w:t>ch research in modern network neuroscience</w:t>
      </w:r>
    </w:p>
    <w:p w:rsidR="002C6717" w:rsidRDefault="002C6717" w:rsidP="00384089">
      <w:pPr>
        <w:pStyle w:val="ListParagraph"/>
        <w:numPr>
          <w:ilvl w:val="0"/>
          <w:numId w:val="9"/>
        </w:numPr>
      </w:pPr>
      <w:r>
        <w:t xml:space="preserve">Have experience in working </w:t>
      </w:r>
      <w:r w:rsidR="00277515">
        <w:t xml:space="preserve">your way </w:t>
      </w:r>
      <w:r>
        <w:t xml:space="preserve">through reasonably math-heavy </w:t>
      </w:r>
      <w:proofErr w:type="spellStart"/>
      <w:r w:rsidR="00277515">
        <w:t>neuro</w:t>
      </w:r>
      <w:proofErr w:type="spellEnd"/>
      <w:r w:rsidR="00277515">
        <w:t xml:space="preserve"> </w:t>
      </w:r>
      <w:r>
        <w:t>papers</w:t>
      </w:r>
    </w:p>
    <w:p w:rsidR="002C6717" w:rsidRDefault="002C6717" w:rsidP="00384089">
      <w:pPr>
        <w:pStyle w:val="ListParagraph"/>
        <w:numPr>
          <w:ilvl w:val="0"/>
          <w:numId w:val="9"/>
        </w:numPr>
      </w:pPr>
      <w:r>
        <w:t xml:space="preserve">Learn the </w:t>
      </w:r>
      <w:r w:rsidR="003B384B">
        <w:t xml:space="preserve">principles </w:t>
      </w:r>
      <w:r>
        <w:t xml:space="preserve">of </w:t>
      </w:r>
      <w:r w:rsidR="00277515">
        <w:t xml:space="preserve">data analysis </w:t>
      </w:r>
      <w:r w:rsidR="00392C1C">
        <w:t xml:space="preserve">for </w:t>
      </w:r>
      <w:r w:rsidR="003534F8">
        <w:t>calcium</w:t>
      </w:r>
      <w:r w:rsidR="00392C1C">
        <w:t xml:space="preserve"> imaging</w:t>
      </w:r>
    </w:p>
    <w:p w:rsidR="00392C1C" w:rsidRDefault="00392C1C" w:rsidP="00384089">
      <w:pPr>
        <w:pStyle w:val="ListParagraph"/>
        <w:numPr>
          <w:ilvl w:val="0"/>
          <w:numId w:val="9"/>
        </w:numPr>
      </w:pPr>
      <w:r>
        <w:t>Learn some fancy statistical methods (or at least learn to interpret their results)</w:t>
      </w:r>
    </w:p>
    <w:p w:rsidR="002C6717" w:rsidRDefault="002C6717" w:rsidP="002C6717">
      <w:r>
        <w:t>In other words:</w:t>
      </w:r>
    </w:p>
    <w:p w:rsidR="002C6717" w:rsidRDefault="002C6717" w:rsidP="002C6717">
      <w:pPr>
        <w:pStyle w:val="ListParagraph"/>
        <w:numPr>
          <w:ilvl w:val="0"/>
          <w:numId w:val="23"/>
        </w:numPr>
      </w:pPr>
      <w:r>
        <w:t xml:space="preserve">If you </w:t>
      </w:r>
      <w:r w:rsidR="007B5C0F">
        <w:t xml:space="preserve">are on a </w:t>
      </w:r>
      <w:r>
        <w:t>neuroscience</w:t>
      </w:r>
      <w:r w:rsidR="003B6B9C">
        <w:t xml:space="preserve"> </w:t>
      </w:r>
      <w:r w:rsidR="007B5C0F">
        <w:t>track</w:t>
      </w:r>
      <w:r>
        <w:t xml:space="preserve">, </w:t>
      </w:r>
      <w:r w:rsidR="00543001">
        <w:t xml:space="preserve">you </w:t>
      </w:r>
      <w:r>
        <w:t>will know what math to learn</w:t>
      </w:r>
      <w:r w:rsidR="00543001">
        <w:t>, and hopefully will be less afraid of it</w:t>
      </w:r>
    </w:p>
    <w:p w:rsidR="00AA1B8E" w:rsidRDefault="002C6717" w:rsidP="006A7181">
      <w:pPr>
        <w:pStyle w:val="ListParagraph"/>
        <w:numPr>
          <w:ilvl w:val="0"/>
          <w:numId w:val="10"/>
        </w:numPr>
      </w:pPr>
      <w:r>
        <w:t xml:space="preserve">If you are a </w:t>
      </w:r>
      <w:r w:rsidR="007B5C0F">
        <w:t>on a computational track</w:t>
      </w:r>
      <w:r>
        <w:t xml:space="preserve">, you'll </w:t>
      </w:r>
      <w:r w:rsidR="00F27B29">
        <w:t xml:space="preserve">become somewhat familiar </w:t>
      </w:r>
      <w:r>
        <w:t>neuroscience</w:t>
      </w:r>
      <w:r w:rsidR="003B6B9C">
        <w:t xml:space="preserve">, and will </w:t>
      </w:r>
      <w:r w:rsidR="0043527E">
        <w:t>be more prepared to enter this field</w:t>
      </w:r>
      <w:r w:rsidR="007B5C0F">
        <w:t xml:space="preserve"> in the future (if necessary)</w:t>
      </w:r>
    </w:p>
    <w:p w:rsidR="00AA1B8E" w:rsidRDefault="00AA1B8E" w:rsidP="00AA1B8E"/>
    <w:p w:rsidR="00294E64" w:rsidRDefault="00EF6B9E" w:rsidP="00B80D30">
      <w:pPr>
        <w:pStyle w:val="Heading1"/>
      </w:pPr>
      <w:r>
        <w:br w:type="page"/>
      </w:r>
      <w:r w:rsidR="00C118D0">
        <w:lastRenderedPageBreak/>
        <w:t xml:space="preserve">Weekly plan </w:t>
      </w:r>
      <w:r w:rsidR="00D434EB">
        <w:t>of topics</w:t>
      </w:r>
    </w:p>
    <w:tbl>
      <w:tblPr>
        <w:tblStyle w:val="TableGrid"/>
        <w:tblW w:w="0" w:type="auto"/>
        <w:tblLook w:val="04A0"/>
      </w:tblPr>
      <w:tblGrid>
        <w:gridCol w:w="462"/>
        <w:gridCol w:w="1008"/>
        <w:gridCol w:w="7998"/>
      </w:tblGrid>
      <w:tr w:rsidR="00C90D60" w:rsidRPr="003B219B" w:rsidTr="00C90D60">
        <w:tc>
          <w:tcPr>
            <w:tcW w:w="462" w:type="dxa"/>
          </w:tcPr>
          <w:p w:rsidR="00C90D60" w:rsidRPr="003B219B" w:rsidRDefault="00C90D60" w:rsidP="002A26F6">
            <w:pPr>
              <w:rPr>
                <w:b/>
              </w:rPr>
            </w:pPr>
            <w:r w:rsidRPr="003B219B">
              <w:rPr>
                <w:b/>
              </w:rPr>
              <w:t>N</w:t>
            </w:r>
          </w:p>
        </w:tc>
        <w:tc>
          <w:tcPr>
            <w:tcW w:w="1008" w:type="dxa"/>
          </w:tcPr>
          <w:p w:rsidR="00C90D60" w:rsidRPr="003B219B" w:rsidRDefault="00C90D60" w:rsidP="002A26F6">
            <w:pPr>
              <w:rPr>
                <w:b/>
              </w:rPr>
            </w:pPr>
            <w:r>
              <w:rPr>
                <w:b/>
              </w:rPr>
              <w:t>Dates</w:t>
            </w:r>
          </w:p>
        </w:tc>
        <w:tc>
          <w:tcPr>
            <w:tcW w:w="7998" w:type="dxa"/>
          </w:tcPr>
          <w:p w:rsidR="00C90D60" w:rsidRPr="003B219B" w:rsidRDefault="00C90D60" w:rsidP="002A26F6">
            <w:pPr>
              <w:rPr>
                <w:b/>
              </w:rPr>
            </w:pPr>
            <w:r>
              <w:rPr>
                <w:b/>
              </w:rPr>
              <w:t>Reading</w:t>
            </w:r>
          </w:p>
        </w:tc>
      </w:tr>
      <w:tr w:rsidR="00C90D60" w:rsidRPr="003B219B" w:rsidTr="00C90D60">
        <w:tc>
          <w:tcPr>
            <w:tcW w:w="462" w:type="dxa"/>
            <w:vAlign w:val="bottom"/>
          </w:tcPr>
          <w:p w:rsidR="00C90D60" w:rsidRDefault="00C90D60" w:rsidP="002A26F6">
            <w:pPr>
              <w:jc w:val="right"/>
              <w:rPr>
                <w:rFonts w:ascii="Calibri" w:hAnsi="Calibri"/>
                <w:color w:val="000000"/>
              </w:rPr>
            </w:pPr>
            <w:r>
              <w:rPr>
                <w:rFonts w:ascii="Calibri" w:hAnsi="Calibri"/>
                <w:color w:val="000000"/>
              </w:rPr>
              <w:t>1</w:t>
            </w:r>
          </w:p>
        </w:tc>
        <w:tc>
          <w:tcPr>
            <w:tcW w:w="1008" w:type="dxa"/>
          </w:tcPr>
          <w:p w:rsidR="00C90D60" w:rsidRPr="00DB6419" w:rsidRDefault="00C90D60" w:rsidP="00C90D60">
            <w:pPr>
              <w:rPr>
                <w:rFonts w:ascii="Calibri" w:hAnsi="Calibri"/>
                <w:color w:val="000000"/>
                <w:sz w:val="20"/>
              </w:rPr>
            </w:pPr>
            <w:r>
              <w:rPr>
                <w:rFonts w:ascii="Calibri" w:hAnsi="Calibri"/>
                <w:color w:val="000000"/>
                <w:sz w:val="20"/>
              </w:rPr>
              <w:t>Feb 2</w:t>
            </w:r>
          </w:p>
        </w:tc>
        <w:tc>
          <w:tcPr>
            <w:tcW w:w="7998" w:type="dxa"/>
          </w:tcPr>
          <w:p w:rsidR="00C90D60" w:rsidRDefault="00C90D60" w:rsidP="002463A7">
            <w:pPr>
              <w:rPr>
                <w:rFonts w:ascii="Calibri" w:hAnsi="Calibri"/>
                <w:color w:val="000000"/>
              </w:rPr>
            </w:pPr>
            <w:r>
              <w:rPr>
                <w:rFonts w:ascii="Calibri" w:hAnsi="Calibri"/>
                <w:color w:val="000000"/>
              </w:rPr>
              <w:t>Intro</w:t>
            </w:r>
            <w:r w:rsidR="00F2632D">
              <w:rPr>
                <w:rFonts w:ascii="Calibri" w:hAnsi="Calibri"/>
                <w:color w:val="000000"/>
              </w:rPr>
              <w:t xml:space="preserve">. </w:t>
            </w:r>
            <w:r w:rsidR="002463A7">
              <w:rPr>
                <w:rFonts w:ascii="Calibri" w:hAnsi="Calibri"/>
                <w:color w:val="000000"/>
              </w:rPr>
              <w:t>L</w:t>
            </w:r>
            <w:r w:rsidR="00F2632D">
              <w:rPr>
                <w:rFonts w:ascii="Calibri" w:hAnsi="Calibri"/>
                <w:color w:val="000000"/>
              </w:rPr>
              <w:t>earn / refresh what these words mean, and how they work: neuron, synapse, axon, action potential, ion channel, Na and K voltage-gated channels, inhibition, glutamate and GABA</w:t>
            </w:r>
            <w:r w:rsidR="00B36BE4">
              <w:rPr>
                <w:rFonts w:ascii="Calibri" w:hAnsi="Calibri"/>
                <w:color w:val="000000"/>
              </w:rPr>
              <w:t>.</w:t>
            </w:r>
            <w:r w:rsidR="002F1AA1">
              <w:rPr>
                <w:rFonts w:ascii="Calibri" w:hAnsi="Calibri"/>
                <w:color w:val="000000"/>
              </w:rPr>
              <w:t xml:space="preserve"> </w:t>
            </w:r>
            <w:r w:rsidR="00FF3C57">
              <w:rPr>
                <w:rFonts w:ascii="Calibri" w:hAnsi="Calibri"/>
                <w:color w:val="000000"/>
              </w:rPr>
              <w:t xml:space="preserve">Read about </w:t>
            </w:r>
            <w:r w:rsidR="002F1AA1">
              <w:rPr>
                <w:rFonts w:ascii="Calibri" w:hAnsi="Calibri"/>
                <w:color w:val="000000"/>
              </w:rPr>
              <w:t>Ca imaging</w:t>
            </w:r>
            <w:r w:rsidR="00FF3C57">
              <w:rPr>
                <w:rFonts w:ascii="Calibri" w:hAnsi="Calibri"/>
                <w:color w:val="000000"/>
              </w:rPr>
              <w:t>, learn how it works, and how signals look like.</w:t>
            </w:r>
          </w:p>
        </w:tc>
      </w:tr>
      <w:tr w:rsidR="00EC5A95" w:rsidRPr="003B219B" w:rsidTr="00C90D60">
        <w:tc>
          <w:tcPr>
            <w:tcW w:w="462" w:type="dxa"/>
            <w:vAlign w:val="bottom"/>
          </w:tcPr>
          <w:p w:rsidR="00EC5A95" w:rsidRDefault="00EC5A95" w:rsidP="002A26F6">
            <w:pPr>
              <w:jc w:val="right"/>
              <w:rPr>
                <w:rFonts w:ascii="Calibri" w:hAnsi="Calibri"/>
                <w:color w:val="000000"/>
              </w:rPr>
            </w:pPr>
            <w:r>
              <w:rPr>
                <w:rFonts w:ascii="Calibri" w:hAnsi="Calibri"/>
                <w:color w:val="000000"/>
              </w:rPr>
              <w:t>2</w:t>
            </w:r>
          </w:p>
        </w:tc>
        <w:tc>
          <w:tcPr>
            <w:tcW w:w="1008" w:type="dxa"/>
          </w:tcPr>
          <w:p w:rsidR="00EC5A95" w:rsidRPr="00DB6419" w:rsidRDefault="00EC5A95" w:rsidP="007D50BA">
            <w:pPr>
              <w:rPr>
                <w:rFonts w:ascii="Calibri" w:hAnsi="Calibri"/>
                <w:color w:val="000000"/>
                <w:sz w:val="20"/>
              </w:rPr>
            </w:pPr>
            <w:r>
              <w:rPr>
                <w:rFonts w:ascii="Calibri" w:hAnsi="Calibri"/>
                <w:color w:val="000000"/>
                <w:sz w:val="20"/>
              </w:rPr>
              <w:t>9</w:t>
            </w:r>
          </w:p>
        </w:tc>
        <w:tc>
          <w:tcPr>
            <w:tcW w:w="7998" w:type="dxa"/>
          </w:tcPr>
          <w:p w:rsidR="00EC5A95" w:rsidRPr="009E0485" w:rsidRDefault="009E0485" w:rsidP="00B57E3C">
            <w:pPr>
              <w:rPr>
                <w:rFonts w:ascii="Calibri" w:hAnsi="Calibri"/>
                <w:i/>
                <w:color w:val="000000"/>
              </w:rPr>
            </w:pPr>
            <w:r>
              <w:rPr>
                <w:rFonts w:ascii="Calibri" w:hAnsi="Calibri"/>
                <w:i/>
                <w:color w:val="000000"/>
              </w:rPr>
              <w:t>Snowstorm happened</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3</w:t>
            </w:r>
          </w:p>
        </w:tc>
        <w:tc>
          <w:tcPr>
            <w:tcW w:w="1008" w:type="dxa"/>
          </w:tcPr>
          <w:p w:rsidR="009E0485" w:rsidRPr="00DB6419" w:rsidRDefault="009E0485" w:rsidP="00421331">
            <w:pPr>
              <w:rPr>
                <w:rFonts w:ascii="Calibri" w:hAnsi="Calibri"/>
                <w:color w:val="000000"/>
                <w:sz w:val="20"/>
              </w:rPr>
            </w:pPr>
            <w:r>
              <w:rPr>
                <w:rFonts w:ascii="Calibri" w:hAnsi="Calibri"/>
                <w:color w:val="000000"/>
                <w:sz w:val="20"/>
              </w:rPr>
              <w:t>16</w:t>
            </w:r>
          </w:p>
        </w:tc>
        <w:tc>
          <w:tcPr>
            <w:tcW w:w="7998" w:type="dxa"/>
          </w:tcPr>
          <w:p w:rsidR="009E0485" w:rsidRDefault="009E0485" w:rsidP="00E85402">
            <w:pPr>
              <w:rPr>
                <w:rFonts w:ascii="Calibri" w:hAnsi="Calibri"/>
                <w:color w:val="000000"/>
              </w:rPr>
            </w:pPr>
            <w:r w:rsidRPr="00297A3A">
              <w:rPr>
                <w:noProof/>
              </w:rPr>
              <w:t xml:space="preserve">Carroll, M. S., J. C. Viemari, et al. (2013). "Patterns of inspiratory phase-dependent activity in the in vitro respiratory network." </w:t>
            </w:r>
            <w:r w:rsidRPr="00ED0A2A">
              <w:rPr>
                <w:noProof/>
                <w:u w:val="single"/>
              </w:rPr>
              <w:t>Journal of Neurophysiology</w:t>
            </w:r>
            <w:r w:rsidRPr="00297A3A">
              <w:rPr>
                <w:noProof/>
              </w:rPr>
              <w:t xml:space="preserve"> </w:t>
            </w:r>
            <w:r w:rsidRPr="00ED0A2A">
              <w:rPr>
                <w:b/>
                <w:noProof/>
              </w:rPr>
              <w:t>109</w:t>
            </w:r>
            <w:r w:rsidRPr="00297A3A">
              <w:rPr>
                <w:noProof/>
              </w:rPr>
              <w:t>(2): 285-295.</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4</w:t>
            </w: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23</w:t>
            </w:r>
          </w:p>
        </w:tc>
        <w:tc>
          <w:tcPr>
            <w:tcW w:w="7998" w:type="dxa"/>
          </w:tcPr>
          <w:p w:rsidR="009E0485" w:rsidRPr="005C00CF" w:rsidRDefault="009E0485" w:rsidP="00E85402">
            <w:pPr>
              <w:rPr>
                <w:rFonts w:ascii="Calibri" w:hAnsi="Calibri"/>
                <w:i/>
                <w:color w:val="000000"/>
              </w:rPr>
            </w:pPr>
            <w:proofErr w:type="spellStart"/>
            <w:r w:rsidRPr="005C603C">
              <w:t>Lütcke</w:t>
            </w:r>
            <w:proofErr w:type="spellEnd"/>
            <w:r w:rsidRPr="005C603C">
              <w:t xml:space="preserve">, H., Gerhard, F., </w:t>
            </w:r>
            <w:proofErr w:type="spellStart"/>
            <w:r w:rsidRPr="005C603C">
              <w:t>Zenke</w:t>
            </w:r>
            <w:proofErr w:type="spellEnd"/>
            <w:r w:rsidRPr="005C603C">
              <w:t xml:space="preserve">, F., Gerstner, W., &amp; </w:t>
            </w:r>
            <w:proofErr w:type="spellStart"/>
            <w:r w:rsidRPr="005C603C">
              <w:t>Helmchen</w:t>
            </w:r>
            <w:proofErr w:type="spellEnd"/>
            <w:r w:rsidRPr="005C603C">
              <w:t>, F. (2015). Inference of neuronal network spike dynamics and topology from calcium imaging data. </w:t>
            </w:r>
            <w:r w:rsidRPr="005C603C">
              <w:rPr>
                <w:i/>
                <w:iCs/>
              </w:rPr>
              <w:t>Neural Circuits Revealed</w:t>
            </w:r>
            <w:r w:rsidRPr="005C603C">
              <w:t>.</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5</w:t>
            </w: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Mar 2</w:t>
            </w:r>
          </w:p>
        </w:tc>
        <w:tc>
          <w:tcPr>
            <w:tcW w:w="7998" w:type="dxa"/>
          </w:tcPr>
          <w:p w:rsidR="009E0485" w:rsidRPr="009E0485" w:rsidRDefault="009E0485" w:rsidP="00E85402">
            <w:pPr>
              <w:rPr>
                <w:rFonts w:ascii="Calibri" w:hAnsi="Calibri"/>
                <w:i/>
                <w:color w:val="000000"/>
              </w:rPr>
            </w:pPr>
            <w:r>
              <w:rPr>
                <w:rFonts w:ascii="Calibri" w:hAnsi="Calibri"/>
                <w:i/>
                <w:color w:val="000000"/>
              </w:rPr>
              <w:t>same paper, part 2</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6</w:t>
            </w: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9</w:t>
            </w:r>
          </w:p>
        </w:tc>
        <w:tc>
          <w:tcPr>
            <w:tcW w:w="7998" w:type="dxa"/>
          </w:tcPr>
          <w:p w:rsidR="009E0485" w:rsidRDefault="009E0485" w:rsidP="00E85402">
            <w:pPr>
              <w:rPr>
                <w:rFonts w:ascii="Calibri" w:hAnsi="Calibri"/>
                <w:color w:val="000000"/>
              </w:rPr>
            </w:pPr>
            <w:r w:rsidRPr="00ED0A2A">
              <w:rPr>
                <w:rFonts w:ascii="Calibri" w:hAnsi="Calibri"/>
                <w:noProof/>
              </w:rPr>
              <w:t xml:space="preserve">Gourevitch, B. and J. J. Eggermont (2007). "Evaluating information transfer between auditory cortical neurons." </w:t>
            </w:r>
            <w:r w:rsidRPr="00ED0A2A">
              <w:rPr>
                <w:rFonts w:ascii="Calibri" w:hAnsi="Calibri"/>
                <w:noProof/>
                <w:u w:val="single"/>
              </w:rPr>
              <w:t>Journal of Neurophysiology</w:t>
            </w:r>
            <w:r w:rsidRPr="00ED0A2A">
              <w:rPr>
                <w:rFonts w:ascii="Calibri" w:hAnsi="Calibri"/>
                <w:noProof/>
              </w:rPr>
              <w:t xml:space="preserve"> </w:t>
            </w:r>
            <w:r w:rsidRPr="00ED0A2A">
              <w:rPr>
                <w:rFonts w:ascii="Calibri" w:hAnsi="Calibri"/>
                <w:b/>
                <w:noProof/>
              </w:rPr>
              <w:t>97</w:t>
            </w:r>
            <w:r w:rsidRPr="00ED0A2A">
              <w:rPr>
                <w:rFonts w:ascii="Calibri" w:hAnsi="Calibri"/>
                <w:noProof/>
              </w:rPr>
              <w:t>(3): 2533-2543</w:t>
            </w:r>
            <w:r>
              <w:rPr>
                <w:rFonts w:ascii="Calibri" w:hAnsi="Calibri"/>
                <w:noProof/>
              </w:rPr>
              <w:t>.</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7</w:t>
            </w: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16</w:t>
            </w:r>
          </w:p>
        </w:tc>
        <w:tc>
          <w:tcPr>
            <w:tcW w:w="7998" w:type="dxa"/>
          </w:tcPr>
          <w:p w:rsidR="009E0485" w:rsidRDefault="009E0485" w:rsidP="00E85402">
            <w:pPr>
              <w:rPr>
                <w:rFonts w:ascii="Calibri" w:hAnsi="Calibri"/>
                <w:color w:val="000000"/>
              </w:rPr>
            </w:pPr>
            <w:proofErr w:type="spellStart"/>
            <w:r w:rsidRPr="005B3116">
              <w:rPr>
                <w:rFonts w:ascii="Calibri" w:hAnsi="Calibri"/>
                <w:color w:val="000000"/>
              </w:rPr>
              <w:t>Stetter</w:t>
            </w:r>
            <w:proofErr w:type="spellEnd"/>
            <w:r w:rsidRPr="005B3116">
              <w:rPr>
                <w:rFonts w:ascii="Calibri" w:hAnsi="Calibri"/>
                <w:color w:val="000000"/>
              </w:rPr>
              <w:t xml:space="preserve">, O., </w:t>
            </w:r>
            <w:proofErr w:type="spellStart"/>
            <w:r w:rsidRPr="005B3116">
              <w:rPr>
                <w:rFonts w:ascii="Calibri" w:hAnsi="Calibri"/>
                <w:color w:val="000000"/>
              </w:rPr>
              <w:t>Battaglia</w:t>
            </w:r>
            <w:proofErr w:type="spellEnd"/>
            <w:r w:rsidRPr="005B3116">
              <w:rPr>
                <w:rFonts w:ascii="Calibri" w:hAnsi="Calibri"/>
                <w:color w:val="000000"/>
              </w:rPr>
              <w:t>, D., Soriano, J., &amp; Geisel, T. (2012). Model-free reconstruction of excitatory neuronal connectivity from calcium imaging signals. </w:t>
            </w:r>
            <w:proofErr w:type="spellStart"/>
            <w:r w:rsidRPr="005B3116">
              <w:rPr>
                <w:rFonts w:ascii="Calibri" w:hAnsi="Calibri"/>
                <w:i/>
                <w:iCs/>
                <w:color w:val="000000"/>
              </w:rPr>
              <w:t>PLoS</w:t>
            </w:r>
            <w:proofErr w:type="spellEnd"/>
            <w:r w:rsidRPr="005B3116">
              <w:rPr>
                <w:rFonts w:ascii="Calibri" w:hAnsi="Calibri"/>
                <w:i/>
                <w:iCs/>
                <w:color w:val="000000"/>
              </w:rPr>
              <w:t xml:space="preserve"> </w:t>
            </w:r>
            <w:proofErr w:type="spellStart"/>
            <w:r w:rsidRPr="005B3116">
              <w:rPr>
                <w:rFonts w:ascii="Calibri" w:hAnsi="Calibri"/>
                <w:i/>
                <w:iCs/>
                <w:color w:val="000000"/>
              </w:rPr>
              <w:t>Comput</w:t>
            </w:r>
            <w:proofErr w:type="spellEnd"/>
            <w:r w:rsidRPr="005B3116">
              <w:rPr>
                <w:rFonts w:ascii="Calibri" w:hAnsi="Calibri"/>
                <w:i/>
                <w:iCs/>
                <w:color w:val="000000"/>
              </w:rPr>
              <w:t xml:space="preserve"> </w:t>
            </w:r>
            <w:proofErr w:type="spellStart"/>
            <w:r w:rsidRPr="005B3116">
              <w:rPr>
                <w:rFonts w:ascii="Calibri" w:hAnsi="Calibri"/>
                <w:i/>
                <w:iCs/>
                <w:color w:val="000000"/>
              </w:rPr>
              <w:t>Biol</w:t>
            </w:r>
            <w:proofErr w:type="spellEnd"/>
            <w:r w:rsidRPr="005B3116">
              <w:rPr>
                <w:rFonts w:ascii="Calibri" w:hAnsi="Calibri"/>
                <w:color w:val="000000"/>
              </w:rPr>
              <w:t>, </w:t>
            </w:r>
            <w:r w:rsidRPr="005B3116">
              <w:rPr>
                <w:rFonts w:ascii="Calibri" w:hAnsi="Calibri"/>
                <w:i/>
                <w:iCs/>
                <w:color w:val="000000"/>
              </w:rPr>
              <w:t>8</w:t>
            </w:r>
            <w:r w:rsidRPr="005B3116">
              <w:rPr>
                <w:rFonts w:ascii="Calibri" w:hAnsi="Calibri"/>
                <w:color w:val="000000"/>
              </w:rPr>
              <w:t>(8), e1002653.</w:t>
            </w:r>
          </w:p>
        </w:tc>
      </w:tr>
      <w:tr w:rsidR="009E0485" w:rsidRPr="003B219B" w:rsidTr="00C90D60">
        <w:tc>
          <w:tcPr>
            <w:tcW w:w="462" w:type="dxa"/>
            <w:vAlign w:val="bottom"/>
          </w:tcPr>
          <w:p w:rsidR="009E0485" w:rsidRDefault="009E0485" w:rsidP="002A26F6">
            <w:pPr>
              <w:rPr>
                <w:rFonts w:ascii="Calibri" w:hAnsi="Calibri"/>
                <w:color w:val="000000"/>
              </w:rPr>
            </w:pP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23</w:t>
            </w:r>
          </w:p>
        </w:tc>
        <w:tc>
          <w:tcPr>
            <w:tcW w:w="7998" w:type="dxa"/>
          </w:tcPr>
          <w:p w:rsidR="009E0485" w:rsidRPr="0053446B" w:rsidRDefault="009E0485" w:rsidP="007D50BA">
            <w:pPr>
              <w:rPr>
                <w:rFonts w:ascii="Calibri" w:hAnsi="Calibri"/>
                <w:i/>
                <w:color w:val="008000"/>
              </w:rPr>
            </w:pPr>
            <w:r w:rsidRPr="00BC4409">
              <w:rPr>
                <w:rFonts w:ascii="Calibri" w:hAnsi="Calibri"/>
                <w:i/>
                <w:color w:val="4F81BD" w:themeColor="accent1"/>
              </w:rPr>
              <w:t>Spring Recess</w:t>
            </w:r>
          </w:p>
        </w:tc>
      </w:tr>
      <w:tr w:rsidR="009E0485" w:rsidRPr="003B219B" w:rsidTr="00C90D60">
        <w:tc>
          <w:tcPr>
            <w:tcW w:w="462" w:type="dxa"/>
            <w:vAlign w:val="bottom"/>
          </w:tcPr>
          <w:p w:rsidR="009E0485" w:rsidRDefault="009E0485" w:rsidP="002A26F6">
            <w:pPr>
              <w:jc w:val="right"/>
              <w:rPr>
                <w:rFonts w:ascii="Calibri" w:hAnsi="Calibri"/>
                <w:color w:val="000000"/>
              </w:rPr>
            </w:pPr>
            <w:r>
              <w:rPr>
                <w:rFonts w:ascii="Calibri" w:hAnsi="Calibri"/>
                <w:color w:val="000000"/>
              </w:rPr>
              <w:t>8</w:t>
            </w:r>
          </w:p>
        </w:tc>
        <w:tc>
          <w:tcPr>
            <w:tcW w:w="1008" w:type="dxa"/>
          </w:tcPr>
          <w:p w:rsidR="009E0485" w:rsidRPr="00DB6419" w:rsidRDefault="009E0485" w:rsidP="007D50BA">
            <w:pPr>
              <w:rPr>
                <w:rFonts w:ascii="Calibri" w:hAnsi="Calibri"/>
                <w:color w:val="000000"/>
                <w:sz w:val="20"/>
              </w:rPr>
            </w:pPr>
            <w:r>
              <w:rPr>
                <w:rFonts w:ascii="Calibri" w:hAnsi="Calibri"/>
                <w:color w:val="000000"/>
                <w:sz w:val="20"/>
              </w:rPr>
              <w:t>30</w:t>
            </w:r>
          </w:p>
        </w:tc>
        <w:tc>
          <w:tcPr>
            <w:tcW w:w="7998" w:type="dxa"/>
          </w:tcPr>
          <w:p w:rsidR="009E0485" w:rsidRPr="000B72DC" w:rsidRDefault="001C49AA" w:rsidP="007D50BA">
            <w:pPr>
              <w:rPr>
                <w:rFonts w:ascii="Calibri" w:hAnsi="Calibri"/>
                <w:i/>
                <w:color w:val="000000"/>
              </w:rPr>
            </w:pPr>
            <w:r w:rsidRPr="00544AE1">
              <w:rPr>
                <w:rFonts w:ascii="Calibri" w:hAnsi="Calibri"/>
                <w:color w:val="000000"/>
              </w:rPr>
              <w:t xml:space="preserve">Gerhard, F., </w:t>
            </w:r>
            <w:proofErr w:type="spellStart"/>
            <w:r w:rsidRPr="00544AE1">
              <w:rPr>
                <w:rFonts w:ascii="Calibri" w:hAnsi="Calibri"/>
                <w:color w:val="000000"/>
              </w:rPr>
              <w:t>Kispersky</w:t>
            </w:r>
            <w:proofErr w:type="spellEnd"/>
            <w:r w:rsidRPr="00544AE1">
              <w:rPr>
                <w:rFonts w:ascii="Calibri" w:hAnsi="Calibri"/>
                <w:color w:val="000000"/>
              </w:rPr>
              <w:t xml:space="preserve">, T., Gutierrez, G. J., </w:t>
            </w:r>
            <w:proofErr w:type="spellStart"/>
            <w:r w:rsidRPr="00544AE1">
              <w:rPr>
                <w:rFonts w:ascii="Calibri" w:hAnsi="Calibri"/>
                <w:color w:val="000000"/>
              </w:rPr>
              <w:t>Marder</w:t>
            </w:r>
            <w:proofErr w:type="spellEnd"/>
            <w:r w:rsidRPr="00544AE1">
              <w:rPr>
                <w:rFonts w:ascii="Calibri" w:hAnsi="Calibri"/>
                <w:color w:val="000000"/>
              </w:rPr>
              <w:t>, E., Kramer, M., &amp; Eden, U. (2013). Successful reconstruction of a physiological circuit with known connectivity from spiking activity alone. </w:t>
            </w:r>
            <w:proofErr w:type="spellStart"/>
            <w:r w:rsidRPr="00544AE1">
              <w:rPr>
                <w:rFonts w:ascii="Calibri" w:hAnsi="Calibri"/>
                <w:i/>
                <w:iCs/>
                <w:color w:val="000000"/>
              </w:rPr>
              <w:t>PLoS</w:t>
            </w:r>
            <w:proofErr w:type="spellEnd"/>
            <w:r w:rsidRPr="00544AE1">
              <w:rPr>
                <w:rFonts w:ascii="Calibri" w:hAnsi="Calibri"/>
                <w:i/>
                <w:iCs/>
                <w:color w:val="000000"/>
              </w:rPr>
              <w:t xml:space="preserve"> </w:t>
            </w:r>
            <w:proofErr w:type="spellStart"/>
            <w:r w:rsidRPr="00544AE1">
              <w:rPr>
                <w:rFonts w:ascii="Calibri" w:hAnsi="Calibri"/>
                <w:i/>
                <w:iCs/>
                <w:color w:val="000000"/>
              </w:rPr>
              <w:t>Comput</w:t>
            </w:r>
            <w:proofErr w:type="spellEnd"/>
            <w:r w:rsidRPr="00544AE1">
              <w:rPr>
                <w:rFonts w:ascii="Calibri" w:hAnsi="Calibri"/>
                <w:i/>
                <w:iCs/>
                <w:color w:val="000000"/>
              </w:rPr>
              <w:t xml:space="preserve"> </w:t>
            </w:r>
            <w:proofErr w:type="spellStart"/>
            <w:r w:rsidRPr="00544AE1">
              <w:rPr>
                <w:rFonts w:ascii="Calibri" w:hAnsi="Calibri"/>
                <w:i/>
                <w:iCs/>
                <w:color w:val="000000"/>
              </w:rPr>
              <w:t>Biol</w:t>
            </w:r>
            <w:proofErr w:type="spellEnd"/>
            <w:r w:rsidRPr="00544AE1">
              <w:rPr>
                <w:rFonts w:ascii="Calibri" w:hAnsi="Calibri"/>
                <w:color w:val="000000"/>
              </w:rPr>
              <w:t>, </w:t>
            </w:r>
            <w:r w:rsidRPr="00544AE1">
              <w:rPr>
                <w:rFonts w:ascii="Calibri" w:hAnsi="Calibri"/>
                <w:i/>
                <w:iCs/>
                <w:color w:val="000000"/>
              </w:rPr>
              <w:t>9</w:t>
            </w:r>
            <w:r w:rsidRPr="00544AE1">
              <w:rPr>
                <w:rFonts w:ascii="Calibri" w:hAnsi="Calibri"/>
                <w:color w:val="000000"/>
              </w:rPr>
              <w:t>(7), e1003138.</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9</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Apr 6</w:t>
            </w:r>
          </w:p>
        </w:tc>
        <w:tc>
          <w:tcPr>
            <w:tcW w:w="7998" w:type="dxa"/>
          </w:tcPr>
          <w:p w:rsidR="00C35CB3" w:rsidRPr="001A68CA" w:rsidRDefault="00C35CB3" w:rsidP="00E85402">
            <w:pPr>
              <w:rPr>
                <w:rFonts w:ascii="Calibri" w:hAnsi="Calibri"/>
                <w:color w:val="000000"/>
              </w:rPr>
            </w:pPr>
            <w:r w:rsidRPr="00BC1249">
              <w:t xml:space="preserve">O'Leary, T., Williams, A. H., </w:t>
            </w:r>
            <w:proofErr w:type="spellStart"/>
            <w:r w:rsidRPr="00BC1249">
              <w:t>Caplan</w:t>
            </w:r>
            <w:proofErr w:type="spellEnd"/>
            <w:r w:rsidRPr="00BC1249">
              <w:t xml:space="preserve">, J. S., &amp; </w:t>
            </w:r>
            <w:proofErr w:type="spellStart"/>
            <w:r w:rsidRPr="00BC1249">
              <w:t>Marder</w:t>
            </w:r>
            <w:proofErr w:type="spellEnd"/>
            <w:r w:rsidRPr="00BC1249">
              <w:t>, E. (2013). Correlations in ion channel expression emerge from homeostatic tuning rules.</w:t>
            </w:r>
            <w:r>
              <w:t xml:space="preserve"> </w:t>
            </w:r>
            <w:r w:rsidRPr="00BC1249">
              <w:rPr>
                <w:i/>
                <w:iCs/>
              </w:rPr>
              <w:t>Proceedings of the National Academy of Sciences</w:t>
            </w:r>
            <w:r w:rsidRPr="00BC1249">
              <w:t>, </w:t>
            </w:r>
            <w:r w:rsidRPr="00BC1249">
              <w:rPr>
                <w:i/>
                <w:iCs/>
              </w:rPr>
              <w:t>110</w:t>
            </w:r>
            <w:r w:rsidRPr="00BC1249">
              <w:t>(28), E2645-E2654</w:t>
            </w:r>
            <w:r>
              <w:t>.</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10</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13</w:t>
            </w:r>
          </w:p>
        </w:tc>
        <w:tc>
          <w:tcPr>
            <w:tcW w:w="7998" w:type="dxa"/>
          </w:tcPr>
          <w:p w:rsidR="00C35CB3" w:rsidRDefault="00C35CB3" w:rsidP="00E85402">
            <w:pPr>
              <w:rPr>
                <w:rFonts w:ascii="Calibri" w:hAnsi="Calibri"/>
                <w:color w:val="000000"/>
              </w:rPr>
            </w:pPr>
            <w:proofErr w:type="spellStart"/>
            <w:r>
              <w:rPr>
                <w:rFonts w:ascii="Calibri" w:hAnsi="Calibri"/>
                <w:color w:val="000000"/>
              </w:rPr>
              <w:t>tbc</w:t>
            </w:r>
            <w:proofErr w:type="spellEnd"/>
            <w:r>
              <w:rPr>
                <w:rFonts w:ascii="Calibri" w:hAnsi="Calibri"/>
                <w:color w:val="000000"/>
              </w:rPr>
              <w:t xml:space="preserve">. Potentially: </w:t>
            </w:r>
            <w:proofErr w:type="spellStart"/>
            <w:r w:rsidRPr="00A75CD2">
              <w:rPr>
                <w:rFonts w:ascii="Calibri" w:hAnsi="Calibri"/>
                <w:color w:val="000000"/>
              </w:rPr>
              <w:t>Elstrott</w:t>
            </w:r>
            <w:proofErr w:type="spellEnd"/>
            <w:r w:rsidRPr="00A75CD2">
              <w:rPr>
                <w:rFonts w:ascii="Calibri" w:hAnsi="Calibri"/>
                <w:color w:val="000000"/>
              </w:rPr>
              <w:t xml:space="preserve">, J., Clancy, K. B., </w:t>
            </w:r>
            <w:proofErr w:type="spellStart"/>
            <w:r w:rsidRPr="00A75CD2">
              <w:rPr>
                <w:rFonts w:ascii="Calibri" w:hAnsi="Calibri"/>
                <w:color w:val="000000"/>
              </w:rPr>
              <w:t>Jafri</w:t>
            </w:r>
            <w:proofErr w:type="spellEnd"/>
            <w:r w:rsidRPr="00A75CD2">
              <w:rPr>
                <w:rFonts w:ascii="Calibri" w:hAnsi="Calibri"/>
                <w:color w:val="000000"/>
              </w:rPr>
              <w:t xml:space="preserve">, H., </w:t>
            </w:r>
            <w:proofErr w:type="spellStart"/>
            <w:r w:rsidRPr="00A75CD2">
              <w:rPr>
                <w:rFonts w:ascii="Calibri" w:hAnsi="Calibri"/>
                <w:color w:val="000000"/>
              </w:rPr>
              <w:t>Akimenko</w:t>
            </w:r>
            <w:proofErr w:type="spellEnd"/>
            <w:r w:rsidRPr="00A75CD2">
              <w:rPr>
                <w:rFonts w:ascii="Calibri" w:hAnsi="Calibri"/>
                <w:color w:val="000000"/>
              </w:rPr>
              <w:t xml:space="preserve">, I., &amp; Feldman, D. E. (2014). Cellular mechanisms for response heterogeneity among L2/3 pyramidal cells in whisker </w:t>
            </w:r>
            <w:proofErr w:type="spellStart"/>
            <w:r w:rsidRPr="00A75CD2">
              <w:rPr>
                <w:rFonts w:ascii="Calibri" w:hAnsi="Calibri"/>
                <w:color w:val="000000"/>
              </w:rPr>
              <w:t>somatosensory</w:t>
            </w:r>
            <w:proofErr w:type="spellEnd"/>
            <w:r w:rsidRPr="00A75CD2">
              <w:rPr>
                <w:rFonts w:ascii="Calibri" w:hAnsi="Calibri"/>
                <w:color w:val="000000"/>
              </w:rPr>
              <w:t xml:space="preserve"> cortex. </w:t>
            </w:r>
            <w:r w:rsidRPr="00A75CD2">
              <w:rPr>
                <w:rFonts w:ascii="Calibri" w:hAnsi="Calibri"/>
                <w:i/>
                <w:iCs/>
                <w:color w:val="000000"/>
              </w:rPr>
              <w:t>Journal of neurophysiology</w:t>
            </w:r>
            <w:r w:rsidRPr="00A75CD2">
              <w:rPr>
                <w:rFonts w:ascii="Calibri" w:hAnsi="Calibri"/>
                <w:color w:val="000000"/>
              </w:rPr>
              <w:t>, </w:t>
            </w:r>
            <w:r w:rsidRPr="00A75CD2">
              <w:rPr>
                <w:rFonts w:ascii="Calibri" w:hAnsi="Calibri"/>
                <w:i/>
                <w:iCs/>
                <w:color w:val="000000"/>
              </w:rPr>
              <w:t>112</w:t>
            </w:r>
            <w:r w:rsidRPr="00A75CD2">
              <w:rPr>
                <w:rFonts w:ascii="Calibri" w:hAnsi="Calibri"/>
                <w:color w:val="000000"/>
              </w:rPr>
              <w:t>(2), 233-248.</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11</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20</w:t>
            </w:r>
          </w:p>
        </w:tc>
        <w:tc>
          <w:tcPr>
            <w:tcW w:w="7998" w:type="dxa"/>
          </w:tcPr>
          <w:p w:rsidR="00C35CB3" w:rsidRDefault="00C35CB3" w:rsidP="00E85402">
            <w:pPr>
              <w:rPr>
                <w:rFonts w:ascii="Calibri" w:hAnsi="Calibri"/>
                <w:color w:val="000000"/>
              </w:rPr>
            </w:pPr>
            <w:proofErr w:type="spellStart"/>
            <w:r>
              <w:rPr>
                <w:rFonts w:ascii="Calibri" w:hAnsi="Calibri"/>
                <w:color w:val="000000"/>
              </w:rPr>
              <w:t>tbc</w:t>
            </w:r>
            <w:proofErr w:type="spellEnd"/>
            <w:r>
              <w:rPr>
                <w:rFonts w:ascii="Calibri" w:hAnsi="Calibri"/>
                <w:color w:val="000000"/>
              </w:rPr>
              <w:t>.</w:t>
            </w:r>
            <w:r w:rsidR="001E5BED">
              <w:rPr>
                <w:rFonts w:ascii="Calibri" w:hAnsi="Calibri"/>
                <w:color w:val="000000"/>
              </w:rPr>
              <w:t xml:space="preserve"> Potentially: </w:t>
            </w:r>
            <w:proofErr w:type="spellStart"/>
            <w:r w:rsidR="001E5BED" w:rsidRPr="001E5BED">
              <w:rPr>
                <w:rFonts w:ascii="Calibri" w:hAnsi="Calibri"/>
                <w:color w:val="000000"/>
              </w:rPr>
              <w:t>Clopath</w:t>
            </w:r>
            <w:proofErr w:type="spellEnd"/>
            <w:r w:rsidR="001E5BED" w:rsidRPr="001E5BED">
              <w:rPr>
                <w:rFonts w:ascii="Calibri" w:hAnsi="Calibri"/>
                <w:color w:val="000000"/>
              </w:rPr>
              <w:t xml:space="preserve">, C., </w:t>
            </w:r>
            <w:proofErr w:type="spellStart"/>
            <w:r w:rsidR="001E5BED" w:rsidRPr="001E5BED">
              <w:rPr>
                <w:rFonts w:ascii="Calibri" w:hAnsi="Calibri"/>
                <w:color w:val="000000"/>
              </w:rPr>
              <w:t>Büsing</w:t>
            </w:r>
            <w:proofErr w:type="spellEnd"/>
            <w:r w:rsidR="001E5BED" w:rsidRPr="001E5BED">
              <w:rPr>
                <w:rFonts w:ascii="Calibri" w:hAnsi="Calibri"/>
                <w:color w:val="000000"/>
              </w:rPr>
              <w:t xml:space="preserve">, L., </w:t>
            </w:r>
            <w:proofErr w:type="spellStart"/>
            <w:r w:rsidR="001E5BED" w:rsidRPr="001E5BED">
              <w:rPr>
                <w:rFonts w:ascii="Calibri" w:hAnsi="Calibri"/>
                <w:color w:val="000000"/>
              </w:rPr>
              <w:t>Vasilaki</w:t>
            </w:r>
            <w:proofErr w:type="spellEnd"/>
            <w:r w:rsidR="001E5BED" w:rsidRPr="001E5BED">
              <w:rPr>
                <w:rFonts w:ascii="Calibri" w:hAnsi="Calibri"/>
                <w:color w:val="000000"/>
              </w:rPr>
              <w:t>, E., &amp; Gerstner, W. (2010). Connectivity reflects coding: a model of voltage-based STDP with homeostasis. </w:t>
            </w:r>
            <w:r w:rsidR="001E5BED" w:rsidRPr="001E5BED">
              <w:rPr>
                <w:rFonts w:ascii="Calibri" w:hAnsi="Calibri"/>
                <w:i/>
                <w:iCs/>
                <w:color w:val="000000"/>
              </w:rPr>
              <w:t>Nature neuroscience</w:t>
            </w:r>
            <w:r w:rsidR="001E5BED" w:rsidRPr="001E5BED">
              <w:rPr>
                <w:rFonts w:ascii="Calibri" w:hAnsi="Calibri"/>
                <w:color w:val="000000"/>
              </w:rPr>
              <w:t>, </w:t>
            </w:r>
            <w:r w:rsidR="001E5BED" w:rsidRPr="001E5BED">
              <w:rPr>
                <w:rFonts w:ascii="Calibri" w:hAnsi="Calibri"/>
                <w:i/>
                <w:iCs/>
                <w:color w:val="000000"/>
              </w:rPr>
              <w:t>13</w:t>
            </w:r>
            <w:r w:rsidR="001E5BED" w:rsidRPr="001E5BED">
              <w:rPr>
                <w:rFonts w:ascii="Calibri" w:hAnsi="Calibri"/>
                <w:color w:val="000000"/>
              </w:rPr>
              <w:t>(3), 344-352.</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12</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27</w:t>
            </w:r>
          </w:p>
        </w:tc>
        <w:tc>
          <w:tcPr>
            <w:tcW w:w="7998" w:type="dxa"/>
          </w:tcPr>
          <w:p w:rsidR="00C35CB3" w:rsidRDefault="00C35CB3" w:rsidP="007D50BA">
            <w:pPr>
              <w:rPr>
                <w:rFonts w:ascii="Calibri" w:hAnsi="Calibri"/>
                <w:color w:val="000000"/>
              </w:rPr>
            </w:pPr>
            <w:proofErr w:type="spellStart"/>
            <w:r>
              <w:rPr>
                <w:rFonts w:ascii="Calibri" w:hAnsi="Calibri"/>
                <w:color w:val="000000"/>
              </w:rPr>
              <w:t>tbc</w:t>
            </w:r>
            <w:proofErr w:type="spellEnd"/>
            <w:r>
              <w:rPr>
                <w:rFonts w:ascii="Calibri" w:hAnsi="Calibri"/>
                <w:color w:val="000000"/>
              </w:rPr>
              <w:t>.</w:t>
            </w:r>
            <w:r w:rsidR="000F541F">
              <w:rPr>
                <w:rFonts w:ascii="Calibri" w:hAnsi="Calibri"/>
                <w:color w:val="000000"/>
              </w:rPr>
              <w:t xml:space="preserve"> Candidate: </w:t>
            </w:r>
            <w:proofErr w:type="spellStart"/>
            <w:r w:rsidR="000F541F" w:rsidRPr="000F541F">
              <w:rPr>
                <w:rFonts w:ascii="Calibri" w:hAnsi="Calibri"/>
                <w:color w:val="000000"/>
              </w:rPr>
              <w:t>Butz</w:t>
            </w:r>
            <w:proofErr w:type="spellEnd"/>
            <w:r w:rsidR="000F541F" w:rsidRPr="000F541F">
              <w:rPr>
                <w:rFonts w:ascii="Calibri" w:hAnsi="Calibri"/>
                <w:color w:val="000000"/>
              </w:rPr>
              <w:t xml:space="preserve">, M., </w:t>
            </w:r>
            <w:proofErr w:type="spellStart"/>
            <w:r w:rsidR="000F541F" w:rsidRPr="000F541F">
              <w:rPr>
                <w:rFonts w:ascii="Calibri" w:hAnsi="Calibri"/>
                <w:color w:val="000000"/>
              </w:rPr>
              <w:t>Steenbuck</w:t>
            </w:r>
            <w:proofErr w:type="spellEnd"/>
            <w:r w:rsidR="000F541F" w:rsidRPr="000F541F">
              <w:rPr>
                <w:rFonts w:ascii="Calibri" w:hAnsi="Calibri"/>
                <w:color w:val="000000"/>
              </w:rPr>
              <w:t xml:space="preserve">, I. D., &amp; van </w:t>
            </w:r>
            <w:proofErr w:type="spellStart"/>
            <w:r w:rsidR="000F541F" w:rsidRPr="000F541F">
              <w:rPr>
                <w:rFonts w:ascii="Calibri" w:hAnsi="Calibri"/>
                <w:color w:val="000000"/>
              </w:rPr>
              <w:t>Ooyen</w:t>
            </w:r>
            <w:proofErr w:type="spellEnd"/>
            <w:r w:rsidR="000F541F" w:rsidRPr="000F541F">
              <w:rPr>
                <w:rFonts w:ascii="Calibri" w:hAnsi="Calibri"/>
                <w:color w:val="000000"/>
              </w:rPr>
              <w:t>, A. (2014). Homeostatic structural plasticity increases the efficiency of small-world networks. Frontiers in synaptic neuroscience, 6, 7.</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13</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May 4</w:t>
            </w:r>
          </w:p>
        </w:tc>
        <w:tc>
          <w:tcPr>
            <w:tcW w:w="7998" w:type="dxa"/>
          </w:tcPr>
          <w:p w:rsidR="00C35CB3" w:rsidRDefault="00C35CB3" w:rsidP="007D50BA">
            <w:pPr>
              <w:rPr>
                <w:rFonts w:ascii="Calibri" w:hAnsi="Calibri"/>
                <w:color w:val="000000"/>
              </w:rPr>
            </w:pPr>
            <w:r>
              <w:rPr>
                <w:rFonts w:ascii="Calibri" w:hAnsi="Calibri"/>
                <w:color w:val="000000"/>
              </w:rPr>
              <w:t>Final assignment presentations (</w:t>
            </w:r>
            <w:proofErr w:type="spellStart"/>
            <w:r>
              <w:rPr>
                <w:rFonts w:ascii="Calibri" w:hAnsi="Calibri"/>
                <w:color w:val="000000"/>
              </w:rPr>
              <w:t>tbc</w:t>
            </w:r>
            <w:proofErr w:type="spellEnd"/>
            <w:r>
              <w:rPr>
                <w:rFonts w:ascii="Calibri" w:hAnsi="Calibri"/>
                <w:color w:val="000000"/>
              </w:rPr>
              <w:t>)</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14</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11</w:t>
            </w:r>
          </w:p>
        </w:tc>
        <w:tc>
          <w:tcPr>
            <w:tcW w:w="7998" w:type="dxa"/>
          </w:tcPr>
          <w:p w:rsidR="00C35CB3" w:rsidRPr="007A6490" w:rsidRDefault="00C35CB3" w:rsidP="007D50BA">
            <w:r>
              <w:rPr>
                <w:rFonts w:ascii="Calibri" w:hAnsi="Calibri"/>
                <w:color w:val="000000"/>
              </w:rPr>
              <w:t>Final assignment presentations (for sure)</w:t>
            </w:r>
          </w:p>
        </w:tc>
      </w:tr>
      <w:tr w:rsidR="00C35CB3" w:rsidRPr="003B219B" w:rsidTr="00C90D60">
        <w:tc>
          <w:tcPr>
            <w:tcW w:w="462" w:type="dxa"/>
            <w:vAlign w:val="bottom"/>
          </w:tcPr>
          <w:p w:rsidR="00C35CB3" w:rsidRDefault="00C35CB3" w:rsidP="002A26F6">
            <w:pPr>
              <w:jc w:val="right"/>
              <w:rPr>
                <w:rFonts w:ascii="Calibri" w:hAnsi="Calibri"/>
                <w:color w:val="000000"/>
              </w:rPr>
            </w:pPr>
            <w:r>
              <w:rPr>
                <w:rFonts w:ascii="Calibri" w:hAnsi="Calibri"/>
                <w:color w:val="000000"/>
              </w:rPr>
              <w:t>15</w:t>
            </w:r>
          </w:p>
        </w:tc>
        <w:tc>
          <w:tcPr>
            <w:tcW w:w="1008" w:type="dxa"/>
          </w:tcPr>
          <w:p w:rsidR="00C35CB3" w:rsidRPr="00DB6419" w:rsidRDefault="00C35CB3" w:rsidP="007D50BA">
            <w:pPr>
              <w:rPr>
                <w:rFonts w:ascii="Calibri" w:hAnsi="Calibri"/>
                <w:color w:val="000000"/>
                <w:sz w:val="20"/>
              </w:rPr>
            </w:pPr>
            <w:r>
              <w:rPr>
                <w:rFonts w:ascii="Calibri" w:hAnsi="Calibri"/>
                <w:color w:val="000000"/>
                <w:sz w:val="20"/>
              </w:rPr>
              <w:t>18</w:t>
            </w:r>
          </w:p>
        </w:tc>
        <w:tc>
          <w:tcPr>
            <w:tcW w:w="7998" w:type="dxa"/>
          </w:tcPr>
          <w:p w:rsidR="00C35CB3" w:rsidRPr="00366718" w:rsidRDefault="00C35CB3" w:rsidP="007D50BA">
            <w:pPr>
              <w:rPr>
                <w:i/>
              </w:rPr>
            </w:pPr>
            <w:r w:rsidRPr="00BC4409">
              <w:rPr>
                <w:rFonts w:ascii="Calibri" w:hAnsi="Calibri"/>
                <w:i/>
                <w:color w:val="4F81BD" w:themeColor="accent1"/>
              </w:rPr>
              <w:t>Completion week</w:t>
            </w:r>
          </w:p>
        </w:tc>
      </w:tr>
    </w:tbl>
    <w:p w:rsidR="00CF1C6C" w:rsidRDefault="00CF1C6C" w:rsidP="00CF1C6C"/>
    <w:p w:rsidR="00CF1C6C" w:rsidRDefault="00CF1C6C">
      <w:pPr>
        <w:rPr>
          <w:rFonts w:asciiTheme="majorHAnsi" w:eastAsiaTheme="majorEastAsia" w:hAnsiTheme="majorHAnsi" w:cstheme="majorBidi"/>
          <w:b/>
          <w:bCs/>
          <w:color w:val="4F81BD" w:themeColor="accent1"/>
        </w:rPr>
      </w:pPr>
      <w:r>
        <w:br w:type="page"/>
      </w:r>
    </w:p>
    <w:p w:rsidR="00A75CD2" w:rsidRDefault="0072426C" w:rsidP="00A75CD2">
      <w:pPr>
        <w:pStyle w:val="Heading3"/>
      </w:pPr>
      <w:r>
        <w:lastRenderedPageBreak/>
        <w:t>Other interesting, related papers</w:t>
      </w:r>
    </w:p>
    <w:p w:rsidR="00A75CD2" w:rsidRDefault="00A75CD2" w:rsidP="00A75CD2">
      <w:r w:rsidRPr="00A75CD2">
        <w:t xml:space="preserve">O’Leary, T., Williams, A. H., </w:t>
      </w:r>
      <w:proofErr w:type="spellStart"/>
      <w:r w:rsidRPr="00A75CD2">
        <w:t>Franci</w:t>
      </w:r>
      <w:proofErr w:type="spellEnd"/>
      <w:r w:rsidRPr="00A75CD2">
        <w:t xml:space="preserve">, A., &amp; </w:t>
      </w:r>
      <w:proofErr w:type="spellStart"/>
      <w:r w:rsidRPr="00A75CD2">
        <w:t>Marder</w:t>
      </w:r>
      <w:proofErr w:type="spellEnd"/>
      <w:r w:rsidRPr="00A75CD2">
        <w:t>, E. (2014). Cell types, network homeostasis, and pathological compensation from a biologically plausible ion channel expression model. </w:t>
      </w:r>
      <w:r w:rsidRPr="00A75CD2">
        <w:rPr>
          <w:i/>
          <w:iCs/>
        </w:rPr>
        <w:t>Neuron</w:t>
      </w:r>
      <w:r w:rsidRPr="00A75CD2">
        <w:t>, </w:t>
      </w:r>
      <w:r w:rsidRPr="00A75CD2">
        <w:rPr>
          <w:i/>
          <w:iCs/>
        </w:rPr>
        <w:t>82</w:t>
      </w:r>
      <w:r w:rsidRPr="00A75CD2">
        <w:t>(4), 809-821.</w:t>
      </w:r>
    </w:p>
    <w:p w:rsidR="00A75CD2" w:rsidRDefault="00142E74" w:rsidP="00A75CD2">
      <w:proofErr w:type="spellStart"/>
      <w:r w:rsidRPr="00142E74">
        <w:t>Aljadeff</w:t>
      </w:r>
      <w:proofErr w:type="spellEnd"/>
      <w:r w:rsidRPr="00142E74">
        <w:t xml:space="preserve">, J., </w:t>
      </w:r>
      <w:proofErr w:type="spellStart"/>
      <w:r w:rsidRPr="00142E74">
        <w:t>Lansdell</w:t>
      </w:r>
      <w:proofErr w:type="spellEnd"/>
      <w:r w:rsidRPr="00142E74">
        <w:t xml:space="preserve">, B. J., </w:t>
      </w:r>
      <w:proofErr w:type="spellStart"/>
      <w:r w:rsidRPr="00142E74">
        <w:t>Fairhall</w:t>
      </w:r>
      <w:proofErr w:type="spellEnd"/>
      <w:r w:rsidRPr="00142E74">
        <w:t xml:space="preserve">, A. L., &amp; </w:t>
      </w:r>
      <w:proofErr w:type="spellStart"/>
      <w:r w:rsidRPr="00142E74">
        <w:t>Kleinfeld</w:t>
      </w:r>
      <w:proofErr w:type="spellEnd"/>
      <w:r w:rsidRPr="00142E74">
        <w:t>, D. (2016). Analysis of neuronal spike trains, deconstructed. </w:t>
      </w:r>
      <w:r w:rsidRPr="00142E74">
        <w:rPr>
          <w:i/>
          <w:iCs/>
        </w:rPr>
        <w:t>Neuron</w:t>
      </w:r>
      <w:r w:rsidRPr="00142E74">
        <w:t>, </w:t>
      </w:r>
      <w:r w:rsidRPr="00142E74">
        <w:rPr>
          <w:i/>
          <w:iCs/>
        </w:rPr>
        <w:t>91</w:t>
      </w:r>
      <w:r w:rsidRPr="00142E74">
        <w:t>(2), 221-259.</w:t>
      </w:r>
    </w:p>
    <w:p w:rsidR="00142E74" w:rsidRDefault="00142E74" w:rsidP="00A75CD2">
      <w:proofErr w:type="spellStart"/>
      <w:r w:rsidRPr="00142E74">
        <w:t>Linderman</w:t>
      </w:r>
      <w:proofErr w:type="spellEnd"/>
      <w:r w:rsidRPr="00142E74">
        <w:t xml:space="preserve">, S. W., &amp; </w:t>
      </w:r>
      <w:proofErr w:type="spellStart"/>
      <w:r w:rsidRPr="00142E74">
        <w:t>Gershman</w:t>
      </w:r>
      <w:proofErr w:type="spellEnd"/>
      <w:r w:rsidRPr="00142E74">
        <w:t>, S. J. (2017). Using computational theory to constrain statistical models of neural data. </w:t>
      </w:r>
      <w:proofErr w:type="spellStart"/>
      <w:r w:rsidRPr="00142E74">
        <w:rPr>
          <w:i/>
          <w:iCs/>
        </w:rPr>
        <w:t>bioRxiv</w:t>
      </w:r>
      <w:proofErr w:type="spellEnd"/>
      <w:r w:rsidRPr="00142E74">
        <w:t>, 104737.</w:t>
      </w:r>
    </w:p>
    <w:p w:rsidR="00CF1C6C" w:rsidRPr="00A75CD2" w:rsidRDefault="00CF1C6C" w:rsidP="00A75CD2">
      <w:proofErr w:type="spellStart"/>
      <w:r w:rsidRPr="00CF1C6C">
        <w:t>Zenke</w:t>
      </w:r>
      <w:proofErr w:type="spellEnd"/>
      <w:r w:rsidRPr="00CF1C6C">
        <w:t xml:space="preserve">, F., </w:t>
      </w:r>
      <w:proofErr w:type="spellStart"/>
      <w:r w:rsidRPr="00CF1C6C">
        <w:t>Hennequin</w:t>
      </w:r>
      <w:proofErr w:type="spellEnd"/>
      <w:r w:rsidRPr="00CF1C6C">
        <w:t>, G., &amp; Gerstner, W. (2013). Synaptic plasticity in neural networks needs homeostasis with a fast rate detector. </w:t>
      </w:r>
      <w:proofErr w:type="spellStart"/>
      <w:r w:rsidRPr="00CF1C6C">
        <w:rPr>
          <w:i/>
          <w:iCs/>
        </w:rPr>
        <w:t>PLoS</w:t>
      </w:r>
      <w:proofErr w:type="spellEnd"/>
      <w:r w:rsidRPr="00CF1C6C">
        <w:rPr>
          <w:i/>
          <w:iCs/>
        </w:rPr>
        <w:t xml:space="preserve"> </w:t>
      </w:r>
      <w:proofErr w:type="spellStart"/>
      <w:r w:rsidRPr="00CF1C6C">
        <w:rPr>
          <w:i/>
          <w:iCs/>
        </w:rPr>
        <w:t>Comput</w:t>
      </w:r>
      <w:proofErr w:type="spellEnd"/>
      <w:r w:rsidRPr="00CF1C6C">
        <w:rPr>
          <w:i/>
          <w:iCs/>
        </w:rPr>
        <w:t xml:space="preserve"> </w:t>
      </w:r>
      <w:proofErr w:type="spellStart"/>
      <w:r w:rsidRPr="00CF1C6C">
        <w:rPr>
          <w:i/>
          <w:iCs/>
        </w:rPr>
        <w:t>Biol</w:t>
      </w:r>
      <w:proofErr w:type="spellEnd"/>
      <w:r w:rsidRPr="00CF1C6C">
        <w:t>, </w:t>
      </w:r>
      <w:r w:rsidRPr="00CF1C6C">
        <w:rPr>
          <w:i/>
          <w:iCs/>
        </w:rPr>
        <w:t>9</w:t>
      </w:r>
      <w:r w:rsidRPr="00CF1C6C">
        <w:t>(11), e1003330.</w:t>
      </w:r>
    </w:p>
    <w:p w:rsidR="00AA1B8E" w:rsidRDefault="00AA1B8E" w:rsidP="00AA1B8E">
      <w:pPr>
        <w:pStyle w:val="Heading1"/>
      </w:pPr>
      <w:r>
        <w:t>Grading</w:t>
      </w:r>
    </w:p>
    <w:p w:rsidR="00AA1B8E" w:rsidRPr="00BC0A57" w:rsidRDefault="00AA1B8E" w:rsidP="00AA1B8E">
      <w:r>
        <w:t>Composition of the final grade:</w:t>
      </w:r>
    </w:p>
    <w:p w:rsidR="00D71C76" w:rsidRDefault="00D71C76" w:rsidP="00D71C76">
      <w:pPr>
        <w:pStyle w:val="ListParagraph"/>
        <w:numPr>
          <w:ilvl w:val="0"/>
          <w:numId w:val="10"/>
        </w:numPr>
      </w:pPr>
      <w:r>
        <w:t xml:space="preserve">40%: Class </w:t>
      </w:r>
      <w:r w:rsidR="0073697C">
        <w:t xml:space="preserve">attendance and </w:t>
      </w:r>
      <w:r>
        <w:t>participation</w:t>
      </w:r>
      <w:r w:rsidR="00F53E4A">
        <w:t xml:space="preserve">, </w:t>
      </w:r>
      <w:r>
        <w:t xml:space="preserve">including </w:t>
      </w:r>
      <w:r w:rsidR="00F53E4A">
        <w:t xml:space="preserve">figure presentations, questions, answers, discussions, </w:t>
      </w:r>
      <w:r>
        <w:t xml:space="preserve">peer-reviews and other </w:t>
      </w:r>
      <w:r w:rsidR="00F53E4A">
        <w:t>in-class assignments</w:t>
      </w:r>
    </w:p>
    <w:p w:rsidR="00AA1B8E" w:rsidRDefault="00D71C76" w:rsidP="00AA1B8E">
      <w:pPr>
        <w:pStyle w:val="ListParagraph"/>
        <w:numPr>
          <w:ilvl w:val="0"/>
          <w:numId w:val="10"/>
        </w:numPr>
      </w:pPr>
      <w:r>
        <w:t>30</w:t>
      </w:r>
      <w:r w:rsidR="00AA1B8E">
        <w:t>%: Reading reflections</w:t>
      </w:r>
    </w:p>
    <w:p w:rsidR="00AA1B8E" w:rsidRDefault="00D71C76" w:rsidP="00AA1B8E">
      <w:pPr>
        <w:pStyle w:val="ListParagraph"/>
        <w:numPr>
          <w:ilvl w:val="0"/>
          <w:numId w:val="10"/>
        </w:numPr>
      </w:pPr>
      <w:r>
        <w:t>30</w:t>
      </w:r>
      <w:r w:rsidR="00AA1B8E">
        <w:t>%: Final assignment</w:t>
      </w:r>
      <w:r w:rsidR="00F65DAD">
        <w:t>, including its presentation</w:t>
      </w:r>
    </w:p>
    <w:p w:rsidR="00AA1B8E" w:rsidRDefault="00AA1B8E" w:rsidP="00AA1B8E">
      <w:pPr>
        <w:pStyle w:val="Heading2"/>
      </w:pPr>
      <w:r>
        <w:t>Reading reflections</w:t>
      </w:r>
    </w:p>
    <w:p w:rsidR="00AA1B8E" w:rsidRDefault="00AA1B8E" w:rsidP="00AA1B8E">
      <w:r>
        <w:t xml:space="preserve">Each week we have reading materials assigned, and you will need to submit a reading reflection online (on </w:t>
      </w:r>
      <w:proofErr w:type="spellStart"/>
      <w:r>
        <w:t>Moodle</w:t>
      </w:r>
      <w:proofErr w:type="spellEnd"/>
      <w:r>
        <w:t xml:space="preserve">). The reading reflection will </w:t>
      </w:r>
      <w:r w:rsidR="00D71C76">
        <w:t xml:space="preserve">normally </w:t>
      </w:r>
      <w:r>
        <w:t>consist of one quest</w:t>
      </w:r>
      <w:r w:rsidR="00D71C76">
        <w:t>ion, requiring a short response. The questions will vary from week to week.</w:t>
      </w:r>
      <w:r w:rsidR="006D0399">
        <w:t xml:space="preserve"> </w:t>
      </w:r>
      <w:r>
        <w:t xml:space="preserve">This assignment is always 2 points max (1 point for being on time, and 1 point for a good meaningful response). </w:t>
      </w:r>
    </w:p>
    <w:p w:rsidR="00AA1B8E" w:rsidRDefault="006D0399" w:rsidP="00AA1B8E">
      <w:pPr>
        <w:pStyle w:val="Heading2"/>
      </w:pPr>
      <w:r>
        <w:t>Paper discussions and class participation</w:t>
      </w:r>
    </w:p>
    <w:p w:rsidR="00AA1B8E" w:rsidRDefault="00AA1B8E" w:rsidP="00AA1B8E">
      <w:r>
        <w:t xml:space="preserve">We'll discuss a paper every week, </w:t>
      </w:r>
      <w:r w:rsidR="006D0399">
        <w:t xml:space="preserve">in most cases going </w:t>
      </w:r>
      <w:r>
        <w:t>figure by figure, and paragraph by paragraph</w:t>
      </w:r>
      <w:r w:rsidR="006D0399">
        <w:t xml:space="preserve">. Be </w:t>
      </w:r>
      <w:r>
        <w:t xml:space="preserve">prepared to </w:t>
      </w:r>
      <w:r w:rsidR="006D0399">
        <w:t>lead a small portion of this discussion (say, a figure or a panel in a figure), offer good follow-up questions, or provide answers.</w:t>
      </w:r>
    </w:p>
    <w:p w:rsidR="00AA1B8E" w:rsidRDefault="00AA1B8E" w:rsidP="00AA1B8E">
      <w:pPr>
        <w:pStyle w:val="Heading2"/>
      </w:pPr>
      <w:r>
        <w:t>Final assignment</w:t>
      </w:r>
    </w:p>
    <w:p w:rsidR="00AA1B8E" w:rsidRDefault="00AA1B8E" w:rsidP="00AA1B8E">
      <w:r>
        <w:t>You can choose between two types of final assignments: computational project and mini-review.</w:t>
      </w:r>
    </w:p>
    <w:p w:rsidR="00AA1B8E" w:rsidRDefault="00AA1B8E" w:rsidP="00AA1B8E">
      <w:pPr>
        <w:pStyle w:val="Heading3"/>
      </w:pPr>
      <w:r>
        <w:t>Computational project</w:t>
      </w:r>
    </w:p>
    <w:p w:rsidR="00AA1B8E" w:rsidRDefault="00D137E8" w:rsidP="00AA1B8E">
      <w:r>
        <w:t>You will be given a dataset with Ca imaging signals recorded from real cells in real brains, at different developmental stages, and in response to different sensory stimuli. You goal will be to do something interesting about it: ask a meaningful question and try to answer it; visualize it in a novel way; try a new method to approach these signals etc. More information about the dataset, and the dataset itself, will be provided as the course going on.</w:t>
      </w:r>
    </w:p>
    <w:p w:rsidR="00AA1B8E" w:rsidRPr="00903271" w:rsidRDefault="00AA1B8E" w:rsidP="00AA1B8E">
      <w:pPr>
        <w:pStyle w:val="Heading3"/>
      </w:pPr>
      <w:r>
        <w:lastRenderedPageBreak/>
        <w:t>Mini-review</w:t>
      </w:r>
    </w:p>
    <w:p w:rsidR="00AA1B8E" w:rsidRDefault="00D137E8" w:rsidP="00AA1B8E">
      <w:r>
        <w:t>Alternatively, you can write a mini-review of some recent research related to the topics discussed in class. Requirements:</w:t>
      </w:r>
    </w:p>
    <w:p w:rsidR="00D137E8" w:rsidRDefault="00D137E8" w:rsidP="00D137E8">
      <w:pPr>
        <w:pStyle w:val="ListParagraph"/>
        <w:numPr>
          <w:ilvl w:val="0"/>
          <w:numId w:val="25"/>
        </w:numPr>
      </w:pPr>
      <w:r>
        <w:t>Should compare at least 2 recent (post-2010) primary papers that share something (topic, method, structure, question), but also disagree about something, contribute to each other's findings, or make our understanding of this topic / question / method more nuanced.</w:t>
      </w:r>
    </w:p>
    <w:p w:rsidR="00D137E8" w:rsidRDefault="00D137E8" w:rsidP="00D137E8">
      <w:pPr>
        <w:pStyle w:val="ListParagraph"/>
        <w:numPr>
          <w:ilvl w:val="0"/>
          <w:numId w:val="25"/>
        </w:numPr>
      </w:pPr>
      <w:r>
        <w:t>At least one of these papers should be immediately relevant to the topics we discussed (ideally, should also cite one of the papers we discussed). So pretty much it should be either about Ca imaging analysis, or about diversity of multidimensional tuning in neural networks.</w:t>
      </w:r>
    </w:p>
    <w:p w:rsidR="00D137E8" w:rsidRDefault="00D137E8" w:rsidP="00D137E8">
      <w:pPr>
        <w:pStyle w:val="ListParagraph"/>
        <w:numPr>
          <w:ilvl w:val="0"/>
          <w:numId w:val="25"/>
        </w:numPr>
      </w:pPr>
      <w:r>
        <w:t>At least 10 references overall (reviews included).</w:t>
      </w:r>
    </w:p>
    <w:p w:rsidR="00D137E8" w:rsidRPr="00B604B7" w:rsidRDefault="00D137E8" w:rsidP="00D137E8">
      <w:pPr>
        <w:pStyle w:val="ListParagraph"/>
        <w:numPr>
          <w:ilvl w:val="0"/>
          <w:numId w:val="25"/>
        </w:numPr>
      </w:pPr>
      <w:r>
        <w:t>Not more than 1500 words in total (about 3 pages)</w:t>
      </w:r>
    </w:p>
    <w:p w:rsidR="00FB407E" w:rsidRDefault="00AA1B8E" w:rsidP="00FB407E">
      <w:pPr>
        <w:pStyle w:val="Heading1"/>
      </w:pPr>
      <w:r>
        <w:t xml:space="preserve">Other </w:t>
      </w:r>
      <w:r w:rsidR="00E03790">
        <w:t>important points</w:t>
      </w:r>
    </w:p>
    <w:p w:rsidR="00D526D0" w:rsidRDefault="00D526D0" w:rsidP="00D526D0">
      <w:pPr>
        <w:pStyle w:val="Heading2"/>
      </w:pPr>
      <w:r>
        <w:t>Missed and late work</w:t>
      </w:r>
    </w:p>
    <w:p w:rsidR="00D526D0" w:rsidRDefault="00D526D0" w:rsidP="00D526D0">
      <w:r>
        <w:t xml:space="preserve">Most homework assignments can be handed in within two weeks after the due date, with a penalty on the grade. There are </w:t>
      </w:r>
      <w:r w:rsidR="000958A0">
        <w:t xml:space="preserve">no make-up assignments for </w:t>
      </w:r>
      <w:r>
        <w:t xml:space="preserve">participation-like grades, but two worst grades will be dropped. No assignments </w:t>
      </w:r>
      <w:r w:rsidR="000958A0">
        <w:t>are</w:t>
      </w:r>
      <w:r>
        <w:t xml:space="preserve"> accepted after the last day of completion week.</w:t>
      </w:r>
    </w:p>
    <w:p w:rsidR="00AA1B8E" w:rsidRDefault="00AA1B8E" w:rsidP="00AA1B8E">
      <w:pPr>
        <w:pStyle w:val="Heading2"/>
      </w:pPr>
      <w:r>
        <w:t>Academic integrity and plagiarism</w:t>
      </w:r>
    </w:p>
    <w:p w:rsidR="00AA1B8E" w:rsidRDefault="00504F46" w:rsidP="00AA1B8E">
      <w:r>
        <w:t>Y</w:t>
      </w:r>
      <w:r w:rsidR="00AA1B8E">
        <w:t>ou need to do your own work and write your own assignments (tests, homework, exams, essays, lab reports). You should also be ready to defend your work verbally, in person, if needed.</w:t>
      </w:r>
    </w:p>
    <w:p w:rsidR="00AA1B8E" w:rsidRDefault="00AA1B8E" w:rsidP="00AA1B8E">
      <w:r>
        <w:t xml:space="preserve">On all other aspects of the course, unless explicitly stated otherwise, collaboration and team work are strongly encouraged. You may seek inspiration by talking to your peers before writing your texts. It is great if you show your work to other students and listen to their feedback. It is very advisable that you work together on lab reports. But the writing itself should be done by </w:t>
      </w:r>
      <w:r w:rsidRPr="0008489A">
        <w:t>you</w:t>
      </w:r>
      <w:r>
        <w:t>. Borrowing texts from other people or from the internet without acknowledgement is unacceptable, and will result in bad things happening.</w:t>
      </w:r>
    </w:p>
    <w:p w:rsidR="00AA1B8E" w:rsidRDefault="00AA1B8E" w:rsidP="00AA1B8E">
      <w:pPr>
        <w:pStyle w:val="Heading2"/>
      </w:pPr>
      <w:r>
        <w:t>Snow policy</w:t>
      </w:r>
    </w:p>
    <w:p w:rsidR="00AA1B8E" w:rsidRPr="00E546E6" w:rsidRDefault="00AA1B8E" w:rsidP="00AA1B8E">
      <w:r>
        <w:t>Classes during heavy weather are tied to the activity of the Bard shuttle. If the shuttle is cancelled, the classes are also cancelled (because presumably if a big metal bus is afraid to go outside, we little humans should also stay at home). If shuttle service is restored, and if it happens at least an hour before class, the class is typically held. If there is a risk of shuttle cancellation, make sure to keep an eye on e-mail updates.</w:t>
      </w:r>
    </w:p>
    <w:p w:rsidR="00AA1B8E" w:rsidRDefault="00AA1B8E" w:rsidP="00AA1B8E">
      <w:pPr>
        <w:pStyle w:val="Heading2"/>
      </w:pPr>
      <w:r>
        <w:t>Syllabus mutation policy</w:t>
      </w:r>
    </w:p>
    <w:p w:rsidR="00AA1B8E" w:rsidRPr="002E34E4" w:rsidRDefault="00AA1B8E" w:rsidP="00AA1B8E">
      <w:r>
        <w:t>Instructor may improve the syllabus during the semester, to make the course even more amazing (for example, we may have to move some topics around). In case of any adjustments, you'll be informed of them in advance.</w:t>
      </w:r>
    </w:p>
    <w:p w:rsidR="00681F79" w:rsidRPr="00E81A6E" w:rsidRDefault="00681F79" w:rsidP="00E81A6E"/>
    <w:sectPr w:rsidR="00681F79" w:rsidRPr="00E81A6E" w:rsidSect="00294E6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B3D" w:rsidRDefault="000B3B3D" w:rsidP="00540688">
      <w:pPr>
        <w:spacing w:after="0" w:line="240" w:lineRule="auto"/>
      </w:pPr>
      <w:r>
        <w:separator/>
      </w:r>
    </w:p>
  </w:endnote>
  <w:endnote w:type="continuationSeparator" w:id="0">
    <w:p w:rsidR="000B3B3D" w:rsidRDefault="000B3B3D" w:rsidP="005406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B3D" w:rsidRDefault="000B3B3D" w:rsidP="00540688">
      <w:pPr>
        <w:spacing w:after="0" w:line="240" w:lineRule="auto"/>
      </w:pPr>
      <w:r>
        <w:separator/>
      </w:r>
    </w:p>
  </w:footnote>
  <w:footnote w:type="continuationSeparator" w:id="0">
    <w:p w:rsidR="000B3B3D" w:rsidRDefault="000B3B3D" w:rsidP="005406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688" w:rsidRDefault="00FA4399" w:rsidP="00540688">
    <w:pPr>
      <w:pStyle w:val="Header"/>
      <w:jc w:val="right"/>
    </w:pPr>
    <w:r>
      <w:t>Animal Physiology</w:t>
    </w:r>
    <w:r w:rsidR="00540688">
      <w:t xml:space="preserve"> 201</w:t>
    </w:r>
    <w:r w:rsidR="005E68E5">
      <w:t>5</w:t>
    </w:r>
    <w:r w:rsidR="00C62CF0">
      <w:t xml:space="preserve"> Syllabus</w:t>
    </w:r>
    <w:r w:rsidR="004C4A70">
      <w:t>.</w:t>
    </w:r>
    <w:r w:rsidR="00AB1785">
      <w:t xml:space="preserve"> </w:t>
    </w:r>
    <w:r w:rsidR="008845C3">
      <w:t>A.S. Khakhalin</w:t>
    </w:r>
    <w:r w:rsidR="004C4A70">
      <w:t xml:space="preserve">, </w:t>
    </w:r>
    <w:r w:rsidR="008845C3">
      <w:t xml:space="preserve">Bard </w:t>
    </w:r>
    <w:r w:rsidR="004C4A70">
      <w:t>College.</w:t>
    </w:r>
    <w:r w:rsidR="008845C3">
      <w:t xml:space="preserve"> </w:t>
    </w:r>
    <w:r w:rsidR="00540688">
      <w:t xml:space="preserve">Page </w:t>
    </w:r>
    <w:fldSimple w:instr=" PAGE   \* MERGEFORMAT ">
      <w:r w:rsidR="00B83328">
        <w:rPr>
          <w:noProof/>
        </w:rPr>
        <w:t>5</w:t>
      </w:r>
    </w:fldSimple>
    <w:r w:rsidR="00540688">
      <w:t xml:space="preserve"> / </w:t>
    </w:r>
    <w:fldSimple w:instr=" NUMPAGES   \* MERGEFORMAT ">
      <w:r w:rsidR="00B83328">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2321"/>
    <w:multiLevelType w:val="hybridMultilevel"/>
    <w:tmpl w:val="BF6E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24A6D"/>
    <w:multiLevelType w:val="hybridMultilevel"/>
    <w:tmpl w:val="E990F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94222"/>
    <w:multiLevelType w:val="hybridMultilevel"/>
    <w:tmpl w:val="843C7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697DF1"/>
    <w:multiLevelType w:val="hybridMultilevel"/>
    <w:tmpl w:val="995C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1B3E42"/>
    <w:multiLevelType w:val="hybridMultilevel"/>
    <w:tmpl w:val="58F4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036A0"/>
    <w:multiLevelType w:val="hybridMultilevel"/>
    <w:tmpl w:val="B3A09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B854F9"/>
    <w:multiLevelType w:val="hybridMultilevel"/>
    <w:tmpl w:val="414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27402"/>
    <w:multiLevelType w:val="hybridMultilevel"/>
    <w:tmpl w:val="85EE9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A20B7"/>
    <w:multiLevelType w:val="hybridMultilevel"/>
    <w:tmpl w:val="7046A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A21627"/>
    <w:multiLevelType w:val="hybridMultilevel"/>
    <w:tmpl w:val="3B36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4C18E1"/>
    <w:multiLevelType w:val="hybridMultilevel"/>
    <w:tmpl w:val="51E2C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166740"/>
    <w:multiLevelType w:val="hybridMultilevel"/>
    <w:tmpl w:val="B134A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A82613"/>
    <w:multiLevelType w:val="hybridMultilevel"/>
    <w:tmpl w:val="D258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2A3F29"/>
    <w:multiLevelType w:val="hybridMultilevel"/>
    <w:tmpl w:val="B6C4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37757"/>
    <w:multiLevelType w:val="hybridMultilevel"/>
    <w:tmpl w:val="08B2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D2D24"/>
    <w:multiLevelType w:val="hybridMultilevel"/>
    <w:tmpl w:val="100E3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74FD8"/>
    <w:multiLevelType w:val="hybridMultilevel"/>
    <w:tmpl w:val="C07AA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F412E2"/>
    <w:multiLevelType w:val="hybridMultilevel"/>
    <w:tmpl w:val="C764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1758ED"/>
    <w:multiLevelType w:val="hybridMultilevel"/>
    <w:tmpl w:val="A3C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F288F"/>
    <w:multiLevelType w:val="hybridMultilevel"/>
    <w:tmpl w:val="44D4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10AC3"/>
    <w:multiLevelType w:val="hybridMultilevel"/>
    <w:tmpl w:val="21EE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971D61"/>
    <w:multiLevelType w:val="hybridMultilevel"/>
    <w:tmpl w:val="89A29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2D512C"/>
    <w:multiLevelType w:val="hybridMultilevel"/>
    <w:tmpl w:val="AAF0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2862CB"/>
    <w:multiLevelType w:val="hybridMultilevel"/>
    <w:tmpl w:val="9BFA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F16D48"/>
    <w:multiLevelType w:val="hybridMultilevel"/>
    <w:tmpl w:val="8A80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10"/>
  </w:num>
  <w:num w:numId="4">
    <w:abstractNumId w:val="16"/>
  </w:num>
  <w:num w:numId="5">
    <w:abstractNumId w:val="15"/>
  </w:num>
  <w:num w:numId="6">
    <w:abstractNumId w:val="7"/>
  </w:num>
  <w:num w:numId="7">
    <w:abstractNumId w:val="17"/>
  </w:num>
  <w:num w:numId="8">
    <w:abstractNumId w:val="23"/>
  </w:num>
  <w:num w:numId="9">
    <w:abstractNumId w:val="21"/>
  </w:num>
  <w:num w:numId="10">
    <w:abstractNumId w:val="19"/>
  </w:num>
  <w:num w:numId="11">
    <w:abstractNumId w:val="8"/>
  </w:num>
  <w:num w:numId="12">
    <w:abstractNumId w:val="13"/>
  </w:num>
  <w:num w:numId="13">
    <w:abstractNumId w:val="1"/>
  </w:num>
  <w:num w:numId="14">
    <w:abstractNumId w:val="20"/>
  </w:num>
  <w:num w:numId="15">
    <w:abstractNumId w:val="14"/>
  </w:num>
  <w:num w:numId="16">
    <w:abstractNumId w:val="3"/>
  </w:num>
  <w:num w:numId="17">
    <w:abstractNumId w:val="11"/>
  </w:num>
  <w:num w:numId="18">
    <w:abstractNumId w:val="6"/>
  </w:num>
  <w:num w:numId="19">
    <w:abstractNumId w:val="12"/>
  </w:num>
  <w:num w:numId="20">
    <w:abstractNumId w:val="24"/>
  </w:num>
  <w:num w:numId="21">
    <w:abstractNumId w:val="2"/>
  </w:num>
  <w:num w:numId="22">
    <w:abstractNumId w:val="0"/>
  </w:num>
  <w:num w:numId="23">
    <w:abstractNumId w:val="9"/>
  </w:num>
  <w:num w:numId="24">
    <w:abstractNumId w:val="18"/>
  </w:num>
  <w:num w:numId="2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oNotDisplayPageBoundaries/>
  <w:proofState w:spelling="clean"/>
  <w:defaultTabStop w:val="720"/>
  <w:characterSpacingControl w:val="doNotCompress"/>
  <w:hdrShapeDefaults>
    <o:shapedefaults v:ext="edit" spidmax="97282"/>
  </w:hdrShapeDefaults>
  <w:footnotePr>
    <w:footnote w:id="-1"/>
    <w:footnote w:id="0"/>
  </w:footnotePr>
  <w:endnotePr>
    <w:endnote w:id="-1"/>
    <w:endnote w:id="0"/>
  </w:endnotePr>
  <w:compat/>
  <w:rsids>
    <w:rsidRoot w:val="000A69F3"/>
    <w:rsid w:val="00021951"/>
    <w:rsid w:val="00027C52"/>
    <w:rsid w:val="000341E1"/>
    <w:rsid w:val="00054366"/>
    <w:rsid w:val="00054548"/>
    <w:rsid w:val="000627EB"/>
    <w:rsid w:val="00086EF8"/>
    <w:rsid w:val="000958A0"/>
    <w:rsid w:val="000A69F3"/>
    <w:rsid w:val="000B3B3D"/>
    <w:rsid w:val="000B5772"/>
    <w:rsid w:val="000B63AE"/>
    <w:rsid w:val="000B72DC"/>
    <w:rsid w:val="000B7C02"/>
    <w:rsid w:val="000B7D01"/>
    <w:rsid w:val="000C3531"/>
    <w:rsid w:val="000D0423"/>
    <w:rsid w:val="000D768D"/>
    <w:rsid w:val="000E3CD7"/>
    <w:rsid w:val="000E5F0E"/>
    <w:rsid w:val="000F0724"/>
    <w:rsid w:val="000F2E1E"/>
    <w:rsid w:val="000F541F"/>
    <w:rsid w:val="00100CC0"/>
    <w:rsid w:val="0010397E"/>
    <w:rsid w:val="00110E95"/>
    <w:rsid w:val="001121D7"/>
    <w:rsid w:val="001222D1"/>
    <w:rsid w:val="001225B0"/>
    <w:rsid w:val="001228DB"/>
    <w:rsid w:val="00126696"/>
    <w:rsid w:val="001338EB"/>
    <w:rsid w:val="001409FB"/>
    <w:rsid w:val="00142E74"/>
    <w:rsid w:val="00143697"/>
    <w:rsid w:val="0014764E"/>
    <w:rsid w:val="00151183"/>
    <w:rsid w:val="001527BA"/>
    <w:rsid w:val="00154034"/>
    <w:rsid w:val="00154A0A"/>
    <w:rsid w:val="001650B2"/>
    <w:rsid w:val="00167C81"/>
    <w:rsid w:val="00167D35"/>
    <w:rsid w:val="00170B5F"/>
    <w:rsid w:val="00174493"/>
    <w:rsid w:val="00175622"/>
    <w:rsid w:val="001800C9"/>
    <w:rsid w:val="001830A9"/>
    <w:rsid w:val="00192700"/>
    <w:rsid w:val="001A68CA"/>
    <w:rsid w:val="001B61B3"/>
    <w:rsid w:val="001B6D31"/>
    <w:rsid w:val="001C3880"/>
    <w:rsid w:val="001C49AA"/>
    <w:rsid w:val="001D2003"/>
    <w:rsid w:val="001E5BED"/>
    <w:rsid w:val="001F6537"/>
    <w:rsid w:val="0021087D"/>
    <w:rsid w:val="0022382A"/>
    <w:rsid w:val="002244D9"/>
    <w:rsid w:val="00227A16"/>
    <w:rsid w:val="00230CBD"/>
    <w:rsid w:val="00242D0A"/>
    <w:rsid w:val="002463A7"/>
    <w:rsid w:val="002465BB"/>
    <w:rsid w:val="00251A34"/>
    <w:rsid w:val="0025229D"/>
    <w:rsid w:val="00253BAD"/>
    <w:rsid w:val="002564FD"/>
    <w:rsid w:val="00256AA9"/>
    <w:rsid w:val="00257F35"/>
    <w:rsid w:val="00264C8B"/>
    <w:rsid w:val="00277515"/>
    <w:rsid w:val="00281278"/>
    <w:rsid w:val="00282A29"/>
    <w:rsid w:val="002846B5"/>
    <w:rsid w:val="002868BA"/>
    <w:rsid w:val="00290070"/>
    <w:rsid w:val="00294E64"/>
    <w:rsid w:val="002961D0"/>
    <w:rsid w:val="002A03BC"/>
    <w:rsid w:val="002A36C8"/>
    <w:rsid w:val="002A45A6"/>
    <w:rsid w:val="002A77CB"/>
    <w:rsid w:val="002B1206"/>
    <w:rsid w:val="002B28F7"/>
    <w:rsid w:val="002B6BFA"/>
    <w:rsid w:val="002C565C"/>
    <w:rsid w:val="002C6717"/>
    <w:rsid w:val="002D4B80"/>
    <w:rsid w:val="002E2ED4"/>
    <w:rsid w:val="002E34E4"/>
    <w:rsid w:val="002E47FD"/>
    <w:rsid w:val="002E6E46"/>
    <w:rsid w:val="002E7675"/>
    <w:rsid w:val="002E7862"/>
    <w:rsid w:val="002E7D5F"/>
    <w:rsid w:val="002F1837"/>
    <w:rsid w:val="002F18BD"/>
    <w:rsid w:val="002F1AA1"/>
    <w:rsid w:val="002F4609"/>
    <w:rsid w:val="002F5495"/>
    <w:rsid w:val="002F6418"/>
    <w:rsid w:val="002F7373"/>
    <w:rsid w:val="0030247D"/>
    <w:rsid w:val="00303948"/>
    <w:rsid w:val="00305856"/>
    <w:rsid w:val="0031388B"/>
    <w:rsid w:val="00315537"/>
    <w:rsid w:val="00324497"/>
    <w:rsid w:val="003256E3"/>
    <w:rsid w:val="00333310"/>
    <w:rsid w:val="003356DE"/>
    <w:rsid w:val="003437D6"/>
    <w:rsid w:val="003438DD"/>
    <w:rsid w:val="00344CDD"/>
    <w:rsid w:val="003534F8"/>
    <w:rsid w:val="00354433"/>
    <w:rsid w:val="003552B3"/>
    <w:rsid w:val="00356094"/>
    <w:rsid w:val="00360131"/>
    <w:rsid w:val="003622E6"/>
    <w:rsid w:val="0036351F"/>
    <w:rsid w:val="00366718"/>
    <w:rsid w:val="0037291D"/>
    <w:rsid w:val="003747C2"/>
    <w:rsid w:val="00384089"/>
    <w:rsid w:val="00385A46"/>
    <w:rsid w:val="00391C4B"/>
    <w:rsid w:val="00392C1C"/>
    <w:rsid w:val="00394BE4"/>
    <w:rsid w:val="003952C8"/>
    <w:rsid w:val="0039793B"/>
    <w:rsid w:val="003A0051"/>
    <w:rsid w:val="003B219B"/>
    <w:rsid w:val="003B384B"/>
    <w:rsid w:val="003B5867"/>
    <w:rsid w:val="003B6B9C"/>
    <w:rsid w:val="003C3EEA"/>
    <w:rsid w:val="003C7622"/>
    <w:rsid w:val="003E03B5"/>
    <w:rsid w:val="003E1BB2"/>
    <w:rsid w:val="003F05CB"/>
    <w:rsid w:val="004042A8"/>
    <w:rsid w:val="00405E6D"/>
    <w:rsid w:val="004154FE"/>
    <w:rsid w:val="0042011F"/>
    <w:rsid w:val="00421331"/>
    <w:rsid w:val="00421A0D"/>
    <w:rsid w:val="0042750C"/>
    <w:rsid w:val="00432DE9"/>
    <w:rsid w:val="0043527E"/>
    <w:rsid w:val="00436410"/>
    <w:rsid w:val="0044589D"/>
    <w:rsid w:val="00450F79"/>
    <w:rsid w:val="00456E20"/>
    <w:rsid w:val="004616BD"/>
    <w:rsid w:val="004621F3"/>
    <w:rsid w:val="00462568"/>
    <w:rsid w:val="00464703"/>
    <w:rsid w:val="004661D5"/>
    <w:rsid w:val="00471C90"/>
    <w:rsid w:val="00471F7C"/>
    <w:rsid w:val="00472E30"/>
    <w:rsid w:val="004747FF"/>
    <w:rsid w:val="00480E31"/>
    <w:rsid w:val="00484C7E"/>
    <w:rsid w:val="00495BD9"/>
    <w:rsid w:val="004A17D8"/>
    <w:rsid w:val="004B0C0C"/>
    <w:rsid w:val="004B5DA3"/>
    <w:rsid w:val="004B6049"/>
    <w:rsid w:val="004C15FF"/>
    <w:rsid w:val="004C4935"/>
    <w:rsid w:val="004C4A70"/>
    <w:rsid w:val="004E525A"/>
    <w:rsid w:val="004E7D83"/>
    <w:rsid w:val="004E7DE2"/>
    <w:rsid w:val="004F6A6B"/>
    <w:rsid w:val="00500166"/>
    <w:rsid w:val="0050426B"/>
    <w:rsid w:val="00504F46"/>
    <w:rsid w:val="005054F7"/>
    <w:rsid w:val="005061FF"/>
    <w:rsid w:val="005109A8"/>
    <w:rsid w:val="005120AB"/>
    <w:rsid w:val="00516548"/>
    <w:rsid w:val="00524FCB"/>
    <w:rsid w:val="00530F7F"/>
    <w:rsid w:val="0053280B"/>
    <w:rsid w:val="00532EE5"/>
    <w:rsid w:val="00534170"/>
    <w:rsid w:val="0053446B"/>
    <w:rsid w:val="00540688"/>
    <w:rsid w:val="00543001"/>
    <w:rsid w:val="00544AE1"/>
    <w:rsid w:val="00557138"/>
    <w:rsid w:val="00561D17"/>
    <w:rsid w:val="00563B15"/>
    <w:rsid w:val="00586C60"/>
    <w:rsid w:val="00595930"/>
    <w:rsid w:val="00597624"/>
    <w:rsid w:val="005A40C2"/>
    <w:rsid w:val="005B3116"/>
    <w:rsid w:val="005C00CF"/>
    <w:rsid w:val="005C6B34"/>
    <w:rsid w:val="005D44C7"/>
    <w:rsid w:val="005D5BCC"/>
    <w:rsid w:val="005D5F2C"/>
    <w:rsid w:val="005D6B8E"/>
    <w:rsid w:val="005E68E5"/>
    <w:rsid w:val="005E6ECF"/>
    <w:rsid w:val="005E70D9"/>
    <w:rsid w:val="005F1600"/>
    <w:rsid w:val="005F1B9B"/>
    <w:rsid w:val="00614B4C"/>
    <w:rsid w:val="00625463"/>
    <w:rsid w:val="00633B3F"/>
    <w:rsid w:val="00636FE0"/>
    <w:rsid w:val="006376B2"/>
    <w:rsid w:val="006447DE"/>
    <w:rsid w:val="00644F27"/>
    <w:rsid w:val="00647D33"/>
    <w:rsid w:val="00651838"/>
    <w:rsid w:val="006558AA"/>
    <w:rsid w:val="00655F02"/>
    <w:rsid w:val="0068009B"/>
    <w:rsid w:val="00681F79"/>
    <w:rsid w:val="00686060"/>
    <w:rsid w:val="00692D94"/>
    <w:rsid w:val="0069363C"/>
    <w:rsid w:val="00693854"/>
    <w:rsid w:val="006955F8"/>
    <w:rsid w:val="006A362E"/>
    <w:rsid w:val="006A7181"/>
    <w:rsid w:val="006B35E1"/>
    <w:rsid w:val="006B4304"/>
    <w:rsid w:val="006C6492"/>
    <w:rsid w:val="006C677C"/>
    <w:rsid w:val="006D0399"/>
    <w:rsid w:val="006D0BD2"/>
    <w:rsid w:val="006D2DEE"/>
    <w:rsid w:val="006D7D5A"/>
    <w:rsid w:val="006E0D7A"/>
    <w:rsid w:val="006F369F"/>
    <w:rsid w:val="007139AB"/>
    <w:rsid w:val="00714989"/>
    <w:rsid w:val="00714A67"/>
    <w:rsid w:val="00714D17"/>
    <w:rsid w:val="00714E69"/>
    <w:rsid w:val="0072426C"/>
    <w:rsid w:val="00730DD5"/>
    <w:rsid w:val="0073542D"/>
    <w:rsid w:val="00736871"/>
    <w:rsid w:val="0073697C"/>
    <w:rsid w:val="00750E64"/>
    <w:rsid w:val="007572E2"/>
    <w:rsid w:val="0076059E"/>
    <w:rsid w:val="0076241E"/>
    <w:rsid w:val="00764A93"/>
    <w:rsid w:val="00767D16"/>
    <w:rsid w:val="0077711D"/>
    <w:rsid w:val="00777783"/>
    <w:rsid w:val="00782F48"/>
    <w:rsid w:val="00784899"/>
    <w:rsid w:val="007848AA"/>
    <w:rsid w:val="007848E3"/>
    <w:rsid w:val="00786368"/>
    <w:rsid w:val="00787AE4"/>
    <w:rsid w:val="007945D8"/>
    <w:rsid w:val="00794EF4"/>
    <w:rsid w:val="007A6490"/>
    <w:rsid w:val="007B5C0F"/>
    <w:rsid w:val="007B695C"/>
    <w:rsid w:val="007C01A7"/>
    <w:rsid w:val="007C0916"/>
    <w:rsid w:val="007C138E"/>
    <w:rsid w:val="007C4BA7"/>
    <w:rsid w:val="007D269E"/>
    <w:rsid w:val="007D50BA"/>
    <w:rsid w:val="007D5972"/>
    <w:rsid w:val="007E07AF"/>
    <w:rsid w:val="007E2F63"/>
    <w:rsid w:val="007F396F"/>
    <w:rsid w:val="0080285A"/>
    <w:rsid w:val="00805466"/>
    <w:rsid w:val="00806FAF"/>
    <w:rsid w:val="00812E51"/>
    <w:rsid w:val="0081669D"/>
    <w:rsid w:val="00821D93"/>
    <w:rsid w:val="0083057A"/>
    <w:rsid w:val="00834EAC"/>
    <w:rsid w:val="0083629C"/>
    <w:rsid w:val="00842444"/>
    <w:rsid w:val="00843BF9"/>
    <w:rsid w:val="00850781"/>
    <w:rsid w:val="00863414"/>
    <w:rsid w:val="00867328"/>
    <w:rsid w:val="008676DF"/>
    <w:rsid w:val="00876EFD"/>
    <w:rsid w:val="008845C3"/>
    <w:rsid w:val="00885AD9"/>
    <w:rsid w:val="008903B3"/>
    <w:rsid w:val="0089429E"/>
    <w:rsid w:val="008A4974"/>
    <w:rsid w:val="008B0432"/>
    <w:rsid w:val="008B04BB"/>
    <w:rsid w:val="008B2D80"/>
    <w:rsid w:val="008C74FA"/>
    <w:rsid w:val="008D011F"/>
    <w:rsid w:val="008D05CC"/>
    <w:rsid w:val="008E6603"/>
    <w:rsid w:val="008E6C6A"/>
    <w:rsid w:val="008F3A15"/>
    <w:rsid w:val="008F7D4C"/>
    <w:rsid w:val="00903271"/>
    <w:rsid w:val="00905408"/>
    <w:rsid w:val="009075EB"/>
    <w:rsid w:val="00913618"/>
    <w:rsid w:val="00917DA4"/>
    <w:rsid w:val="00920E85"/>
    <w:rsid w:val="009272D4"/>
    <w:rsid w:val="00930EE6"/>
    <w:rsid w:val="00932987"/>
    <w:rsid w:val="00942AB5"/>
    <w:rsid w:val="0094751D"/>
    <w:rsid w:val="00952372"/>
    <w:rsid w:val="00955A9E"/>
    <w:rsid w:val="009624B0"/>
    <w:rsid w:val="009631EE"/>
    <w:rsid w:val="00967692"/>
    <w:rsid w:val="00967E3B"/>
    <w:rsid w:val="009713B1"/>
    <w:rsid w:val="0098068F"/>
    <w:rsid w:val="009839E1"/>
    <w:rsid w:val="00996A5F"/>
    <w:rsid w:val="0099736F"/>
    <w:rsid w:val="009A2E82"/>
    <w:rsid w:val="009A49A9"/>
    <w:rsid w:val="009A7020"/>
    <w:rsid w:val="009A7578"/>
    <w:rsid w:val="009B57D2"/>
    <w:rsid w:val="009B5FFE"/>
    <w:rsid w:val="009C0CCE"/>
    <w:rsid w:val="009C1F3B"/>
    <w:rsid w:val="009D116C"/>
    <w:rsid w:val="009E0485"/>
    <w:rsid w:val="009E49CC"/>
    <w:rsid w:val="009F13C0"/>
    <w:rsid w:val="00A13267"/>
    <w:rsid w:val="00A14DEA"/>
    <w:rsid w:val="00A16A95"/>
    <w:rsid w:val="00A220EC"/>
    <w:rsid w:val="00A25EC1"/>
    <w:rsid w:val="00A426BF"/>
    <w:rsid w:val="00A43BDD"/>
    <w:rsid w:val="00A676AD"/>
    <w:rsid w:val="00A74302"/>
    <w:rsid w:val="00A75CD2"/>
    <w:rsid w:val="00AA142C"/>
    <w:rsid w:val="00AA1668"/>
    <w:rsid w:val="00AA19E4"/>
    <w:rsid w:val="00AA1B8E"/>
    <w:rsid w:val="00AB022A"/>
    <w:rsid w:val="00AB1785"/>
    <w:rsid w:val="00AB4689"/>
    <w:rsid w:val="00AB65E1"/>
    <w:rsid w:val="00AC4E45"/>
    <w:rsid w:val="00AC6690"/>
    <w:rsid w:val="00AD0C0F"/>
    <w:rsid w:val="00AE3CF7"/>
    <w:rsid w:val="00AE55EC"/>
    <w:rsid w:val="00AF6DAF"/>
    <w:rsid w:val="00AF7F10"/>
    <w:rsid w:val="00AF7FD3"/>
    <w:rsid w:val="00B02D4F"/>
    <w:rsid w:val="00B07483"/>
    <w:rsid w:val="00B07F86"/>
    <w:rsid w:val="00B13006"/>
    <w:rsid w:val="00B27BEF"/>
    <w:rsid w:val="00B3438C"/>
    <w:rsid w:val="00B3620E"/>
    <w:rsid w:val="00B36529"/>
    <w:rsid w:val="00B36BE4"/>
    <w:rsid w:val="00B36CD1"/>
    <w:rsid w:val="00B472D4"/>
    <w:rsid w:val="00B55B7C"/>
    <w:rsid w:val="00B5754D"/>
    <w:rsid w:val="00B604B7"/>
    <w:rsid w:val="00B6769E"/>
    <w:rsid w:val="00B67A1C"/>
    <w:rsid w:val="00B7080E"/>
    <w:rsid w:val="00B761B3"/>
    <w:rsid w:val="00B80D30"/>
    <w:rsid w:val="00B83328"/>
    <w:rsid w:val="00B91AE5"/>
    <w:rsid w:val="00B9660B"/>
    <w:rsid w:val="00BA2D4A"/>
    <w:rsid w:val="00BA60ED"/>
    <w:rsid w:val="00BB56D6"/>
    <w:rsid w:val="00BB7B3B"/>
    <w:rsid w:val="00BC1A62"/>
    <w:rsid w:val="00BC2008"/>
    <w:rsid w:val="00BC4409"/>
    <w:rsid w:val="00BD6007"/>
    <w:rsid w:val="00BE2FE7"/>
    <w:rsid w:val="00BE48E4"/>
    <w:rsid w:val="00BE621A"/>
    <w:rsid w:val="00BF200F"/>
    <w:rsid w:val="00BF2C0B"/>
    <w:rsid w:val="00C015EF"/>
    <w:rsid w:val="00C02AE7"/>
    <w:rsid w:val="00C1154B"/>
    <w:rsid w:val="00C118D0"/>
    <w:rsid w:val="00C144C3"/>
    <w:rsid w:val="00C22A80"/>
    <w:rsid w:val="00C22F96"/>
    <w:rsid w:val="00C304D8"/>
    <w:rsid w:val="00C33A92"/>
    <w:rsid w:val="00C35CB3"/>
    <w:rsid w:val="00C43905"/>
    <w:rsid w:val="00C4640F"/>
    <w:rsid w:val="00C47A7A"/>
    <w:rsid w:val="00C57772"/>
    <w:rsid w:val="00C6141A"/>
    <w:rsid w:val="00C62CF0"/>
    <w:rsid w:val="00C64F22"/>
    <w:rsid w:val="00C66EEA"/>
    <w:rsid w:val="00C7050E"/>
    <w:rsid w:val="00C70BF2"/>
    <w:rsid w:val="00C7145E"/>
    <w:rsid w:val="00C715D6"/>
    <w:rsid w:val="00C81186"/>
    <w:rsid w:val="00C84E36"/>
    <w:rsid w:val="00C851CF"/>
    <w:rsid w:val="00C90D60"/>
    <w:rsid w:val="00C91FEB"/>
    <w:rsid w:val="00CA0654"/>
    <w:rsid w:val="00CA51FB"/>
    <w:rsid w:val="00CA6571"/>
    <w:rsid w:val="00CA660C"/>
    <w:rsid w:val="00CB0894"/>
    <w:rsid w:val="00CB1E58"/>
    <w:rsid w:val="00CB4F98"/>
    <w:rsid w:val="00CC2F38"/>
    <w:rsid w:val="00CC5968"/>
    <w:rsid w:val="00CC61DC"/>
    <w:rsid w:val="00CE14BC"/>
    <w:rsid w:val="00CE1CB4"/>
    <w:rsid w:val="00CE41D8"/>
    <w:rsid w:val="00CE7512"/>
    <w:rsid w:val="00CF1C6C"/>
    <w:rsid w:val="00D00558"/>
    <w:rsid w:val="00D048EF"/>
    <w:rsid w:val="00D1051F"/>
    <w:rsid w:val="00D137E8"/>
    <w:rsid w:val="00D14DBF"/>
    <w:rsid w:val="00D157B5"/>
    <w:rsid w:val="00D36D67"/>
    <w:rsid w:val="00D429F1"/>
    <w:rsid w:val="00D434EB"/>
    <w:rsid w:val="00D471D7"/>
    <w:rsid w:val="00D526D0"/>
    <w:rsid w:val="00D531FD"/>
    <w:rsid w:val="00D54ECF"/>
    <w:rsid w:val="00D573A0"/>
    <w:rsid w:val="00D66FFB"/>
    <w:rsid w:val="00D710B8"/>
    <w:rsid w:val="00D71C76"/>
    <w:rsid w:val="00D77BCF"/>
    <w:rsid w:val="00D80A3F"/>
    <w:rsid w:val="00D903C4"/>
    <w:rsid w:val="00D97CFC"/>
    <w:rsid w:val="00DA106E"/>
    <w:rsid w:val="00DB08E9"/>
    <w:rsid w:val="00DB1589"/>
    <w:rsid w:val="00DB4E2B"/>
    <w:rsid w:val="00DB51CB"/>
    <w:rsid w:val="00DB6419"/>
    <w:rsid w:val="00DD3BF5"/>
    <w:rsid w:val="00DE1276"/>
    <w:rsid w:val="00DE4174"/>
    <w:rsid w:val="00DF1FE4"/>
    <w:rsid w:val="00E00AF1"/>
    <w:rsid w:val="00E03790"/>
    <w:rsid w:val="00E051AC"/>
    <w:rsid w:val="00E06AA4"/>
    <w:rsid w:val="00E06EF5"/>
    <w:rsid w:val="00E235C8"/>
    <w:rsid w:val="00E27FCA"/>
    <w:rsid w:val="00E34D34"/>
    <w:rsid w:val="00E546E6"/>
    <w:rsid w:val="00E56386"/>
    <w:rsid w:val="00E56A21"/>
    <w:rsid w:val="00E66610"/>
    <w:rsid w:val="00E67DF1"/>
    <w:rsid w:val="00E73E17"/>
    <w:rsid w:val="00E7504F"/>
    <w:rsid w:val="00E7729E"/>
    <w:rsid w:val="00E7761F"/>
    <w:rsid w:val="00E81A6E"/>
    <w:rsid w:val="00E81FBE"/>
    <w:rsid w:val="00E8358C"/>
    <w:rsid w:val="00E97658"/>
    <w:rsid w:val="00EC5223"/>
    <w:rsid w:val="00EC5A95"/>
    <w:rsid w:val="00ED1A80"/>
    <w:rsid w:val="00EE0623"/>
    <w:rsid w:val="00EF2691"/>
    <w:rsid w:val="00EF6B9E"/>
    <w:rsid w:val="00F00E33"/>
    <w:rsid w:val="00F04513"/>
    <w:rsid w:val="00F06EC7"/>
    <w:rsid w:val="00F114DE"/>
    <w:rsid w:val="00F17A1D"/>
    <w:rsid w:val="00F20083"/>
    <w:rsid w:val="00F23DEE"/>
    <w:rsid w:val="00F258A3"/>
    <w:rsid w:val="00F2632D"/>
    <w:rsid w:val="00F26E5B"/>
    <w:rsid w:val="00F27B29"/>
    <w:rsid w:val="00F31D78"/>
    <w:rsid w:val="00F322A0"/>
    <w:rsid w:val="00F32CA0"/>
    <w:rsid w:val="00F32DC4"/>
    <w:rsid w:val="00F3367F"/>
    <w:rsid w:val="00F411F3"/>
    <w:rsid w:val="00F4583C"/>
    <w:rsid w:val="00F517EB"/>
    <w:rsid w:val="00F52713"/>
    <w:rsid w:val="00F53E4A"/>
    <w:rsid w:val="00F6206F"/>
    <w:rsid w:val="00F63516"/>
    <w:rsid w:val="00F65B1E"/>
    <w:rsid w:val="00F65DAD"/>
    <w:rsid w:val="00F65EE8"/>
    <w:rsid w:val="00F71FB6"/>
    <w:rsid w:val="00F832A7"/>
    <w:rsid w:val="00F915CF"/>
    <w:rsid w:val="00FA21CF"/>
    <w:rsid w:val="00FA4399"/>
    <w:rsid w:val="00FB1BEE"/>
    <w:rsid w:val="00FB407E"/>
    <w:rsid w:val="00FC5E28"/>
    <w:rsid w:val="00FC70AE"/>
    <w:rsid w:val="00FD0EC0"/>
    <w:rsid w:val="00FD399E"/>
    <w:rsid w:val="00FE18BD"/>
    <w:rsid w:val="00FE3204"/>
    <w:rsid w:val="00FE4FC8"/>
    <w:rsid w:val="00FF3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64"/>
  </w:style>
  <w:style w:type="paragraph" w:styleId="Heading1">
    <w:name w:val="heading 1"/>
    <w:basedOn w:val="Normal"/>
    <w:next w:val="Normal"/>
    <w:link w:val="Heading1Char"/>
    <w:uiPriority w:val="9"/>
    <w:qFormat/>
    <w:rsid w:val="000A6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60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60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9F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A69F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A69F3"/>
    <w:rPr>
      <w:rFonts w:ascii="Tahoma" w:hAnsi="Tahoma" w:cs="Tahoma"/>
      <w:sz w:val="16"/>
      <w:szCs w:val="16"/>
    </w:rPr>
  </w:style>
  <w:style w:type="paragraph" w:styleId="ListParagraph">
    <w:name w:val="List Paragraph"/>
    <w:basedOn w:val="Normal"/>
    <w:uiPriority w:val="34"/>
    <w:qFormat/>
    <w:rsid w:val="000A69F3"/>
    <w:pPr>
      <w:ind w:left="720"/>
      <w:contextualSpacing/>
    </w:pPr>
  </w:style>
  <w:style w:type="paragraph" w:styleId="Title">
    <w:name w:val="Title"/>
    <w:basedOn w:val="Normal"/>
    <w:next w:val="Normal"/>
    <w:link w:val="TitleChar"/>
    <w:uiPriority w:val="10"/>
    <w:qFormat/>
    <w:rsid w:val="007C09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91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174493"/>
    <w:rPr>
      <w:color w:val="0000FF" w:themeColor="hyperlink"/>
      <w:u w:val="single"/>
    </w:rPr>
  </w:style>
  <w:style w:type="paragraph" w:styleId="Header">
    <w:name w:val="header"/>
    <w:basedOn w:val="Normal"/>
    <w:link w:val="HeaderChar"/>
    <w:uiPriority w:val="99"/>
    <w:semiHidden/>
    <w:unhideWhenUsed/>
    <w:rsid w:val="00540688"/>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40688"/>
  </w:style>
  <w:style w:type="paragraph" w:styleId="Footer">
    <w:name w:val="footer"/>
    <w:basedOn w:val="Normal"/>
    <w:link w:val="FooterChar"/>
    <w:uiPriority w:val="99"/>
    <w:semiHidden/>
    <w:unhideWhenUsed/>
    <w:rsid w:val="00540688"/>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40688"/>
  </w:style>
  <w:style w:type="table" w:styleId="TableGrid">
    <w:name w:val="Table Grid"/>
    <w:basedOn w:val="TableNormal"/>
    <w:uiPriority w:val="59"/>
    <w:rsid w:val="003B21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56094"/>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35609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82111810">
      <w:bodyDiv w:val="1"/>
      <w:marLeft w:val="0"/>
      <w:marRight w:val="0"/>
      <w:marTop w:val="0"/>
      <w:marBottom w:val="0"/>
      <w:divBdr>
        <w:top w:val="none" w:sz="0" w:space="0" w:color="auto"/>
        <w:left w:val="none" w:sz="0" w:space="0" w:color="auto"/>
        <w:bottom w:val="none" w:sz="0" w:space="0" w:color="auto"/>
        <w:right w:val="none" w:sz="0" w:space="0" w:color="auto"/>
      </w:divBdr>
    </w:div>
    <w:div w:id="162418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hakhalin@b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1805</TotalTime>
  <Pages>5</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9109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Arseny</dc:creator>
  <cp:lastModifiedBy>Arseny</cp:lastModifiedBy>
  <cp:revision>18</cp:revision>
  <cp:lastPrinted>2017-03-01T16:47:00Z</cp:lastPrinted>
  <dcterms:created xsi:type="dcterms:W3CDTF">2017-02-02T14:35:00Z</dcterms:created>
  <dcterms:modified xsi:type="dcterms:W3CDTF">2017-03-01T16:48:00Z</dcterms:modified>
</cp:coreProperties>
</file>