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robe-checklist-for-cohort-studies"/>
    <w:p>
      <w:pPr>
        <w:pStyle w:val="Heading1"/>
      </w:pPr>
      <w:r>
        <w:rPr>
          <w:rFonts w:ascii="Times New Roman" w:hAnsi="Times New Roman" w:eastAsia="Times New Roman"/>
          <w:b/>
          <w:color w:val="000000"/>
          <w:sz w:val="32"/>
        </w:rPr>
        <w:t xml:space="preserve">STROBE Checklist for Cohort Studies</w:t>
      </w:r>
    </w:p>
    <w:p>
      <w:pPr>
        <w:pStyle w:val="FirstParagraph"/>
      </w:pPr>
      <w:r>
        <w:rPr>
          <w:rFonts w:ascii="Times New Roman" w:hAnsi="Times New Roman" w:eastAsia="Times New Roman"/>
          <w:b/>
          <w:bCs/>
        </w:rPr>
        <w:t xml:space="preserve">Manuscript:</w:t>
      </w:r>
      <w:r>
        <w:rPr>
          <w:rFonts w:ascii="Times New Roman" w:hAnsi="Times New Roman" w:eastAsia="Times New Roman"/>
        </w:rPr>
        <w:t xml:space="preserve"> </w:t>
      </w:r>
      <w:r>
        <w:rPr>
          <w:rFonts w:ascii="Times New Roman" w:hAnsi="Times New Roman" w:eastAsia="Times New Roman"/>
        </w:rPr>
        <w:t xml:space="preserve">Objective and subjective financial hardship as predictors of all-cause mortality among older adults in South Korea: a prospective cohort study</w:t>
      </w:r>
    </w:p>
    <w:p>
      <w:r>
        <w:rPr>
          <w:rFonts w:ascii="Times New Roman" w:hAnsi="Times New Roman" w:eastAsia="Times New Roman"/>
        </w:rPr>
        <w:pict>
          <v:rect style="width:0;height:1.5pt" o:hralign="center" o:hrstd="t" o:hr="t"/>
        </w:pict>
      </w:r>
    </w:p>
    <w:tbl>
      <w:tblPr>
        <w:tblStyle w:val="Table"/>
        <w:tblW w:type="pct" w:w="5000"/>
        <w:jc w:val="center"/>
        <w:tblLayout w:type="fixed"/>
        <w:tblLook w:firstRow="1" w:lastRow="0" w:firstColumn="0" w:lastColumn="0" w:noHBand="0" w:noVBand="0" w:val="0020"/>
      </w:tblPr>
      <w:tblGrid>
        <w:gridCol w:w="3046"/>
        <w:gridCol w:w="2436"/>
        <w:gridCol w:w="2436"/>
      </w:tblGrid>
      <w:tr>
        <w:trPr>
          <w:tblHeader w:val="on"/>
        </w:trPr>
        <w:tc>
          <w:tcPr>
            <w:tcMar>
              <w:top w:w="30" w:type="dxa"/>
              <w:bottom w:w="30" w:type="dxa"/>
              <w:left w:w="60" w:type="dxa"/>
              <w:right w:w="60" w:type="dxa"/>
            </w:tcMar>
            <w:tcBorders>
              <w:top w:val="single" w:sz="8" w:space="0" w:color="000000"/>
              <w:bottom w:val="single" w:sz="4" w:space="0" w:color="000000"/>
              <w:left w:val="none" w:sz="0" w:space="0" w:color="auto"/>
              <w:right w:val="none" w:sz="0" w:space="0" w:color="auto"/>
            </w:tcBorders>
          </w:tcPr>
          <w:p>
            <w:pPr>
              <w:pStyle w:val="Compact"/>
              <w:jc w:val="left"/>
            </w:pPr>
            <w:r>
              <w:rPr>
                <w:rFonts w:ascii="Times New Roman" w:hAnsi="Times New Roman"/>
                <w:b/>
                <w:sz w:val="18"/>
              </w:rPr>
              <w:t xml:space="preserve">Item No.</w:t>
            </w:r>
          </w:p>
        </w:tc>
        <w:tc>
          <w:tcPr>
            <w:tcMar>
              <w:top w:w="30" w:type="dxa"/>
              <w:bottom w:w="30" w:type="dxa"/>
              <w:left w:w="60" w:type="dxa"/>
              <w:right w:w="60" w:type="dxa"/>
            </w:tcMar>
            <w:tcBorders>
              <w:top w:val="single" w:sz="8" w:space="0" w:color="000000"/>
              <w:bottom w:val="single" w:sz="4" w:space="0" w:color="000000"/>
              <w:left w:val="none" w:sz="0" w:space="0" w:color="auto"/>
              <w:right w:val="none" w:sz="0" w:space="0" w:color="auto"/>
            </w:tcBorders>
          </w:tcPr>
          <w:p>
            <w:pPr>
              <w:pStyle w:val="Compact"/>
              <w:jc w:val="center"/>
            </w:pPr>
            <w:r>
              <w:rPr>
                <w:rFonts w:ascii="Times New Roman" w:hAnsi="Times New Roman"/>
                <w:b/>
                <w:sz w:val="18"/>
              </w:rPr>
              <w:t xml:space="preserve">Recommendation</w:t>
            </w:r>
          </w:p>
        </w:tc>
        <w:tc>
          <w:tcPr>
            <w:tcMar>
              <w:top w:w="30" w:type="dxa"/>
              <w:bottom w:w="30" w:type="dxa"/>
              <w:left w:w="60" w:type="dxa"/>
              <w:right w:w="60" w:type="dxa"/>
            </w:tcMar>
            <w:tcBorders>
              <w:top w:val="single" w:sz="8" w:space="0" w:color="000000"/>
              <w:bottom w:val="single" w:sz="4" w:space="0" w:color="000000"/>
              <w:left w:val="none" w:sz="0" w:space="0" w:color="auto"/>
              <w:right w:val="none" w:sz="0" w:space="0" w:color="auto"/>
            </w:tcBorders>
          </w:tcPr>
          <w:p>
            <w:pPr>
              <w:pStyle w:val="Compact"/>
              <w:jc w:val="center"/>
            </w:pPr>
            <w:r>
              <w:rPr>
                <w:rFonts w:ascii="Times New Roman" w:hAnsi="Times New Roman"/>
                <w:b/>
                <w:sz w:val="18"/>
              </w:rPr>
              <w:t xml:space="preserve">Manuscript Section</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b/>
                <w:bCs/>
                <w:sz w:val="18"/>
              </w:rPr>
              <w:t xml:space="preserve">Title and abstract</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(a) Indicate the study’s design with a commonly used term in the title or abstract</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Title (</w:t>
            </w:r>
            <w:r>
              <w:rPr>
                <w:rFonts w:ascii="Times New Roman" w:hAnsi="Times New Roman"/>
                <w:sz w:val="18"/>
              </w:rPr>
              <w:t xml:space="preserve">“prospective cohort study”</w:t>
            </w:r>
            <w:r>
              <w:rPr>
                <w:rFonts w:ascii="Times New Roman" w:hAnsi="Times New Roman"/>
                <w:sz w:val="18"/>
              </w:rPr>
              <w:t xml:space="preserve">); Summary, Methods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(b) Provide in the abstract an informative and balanced summary of what was done and what was found</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Summary (Background, Methods, Findings, Interpretation)</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b/>
                <w:bCs/>
                <w:sz w:val="18"/>
              </w:rPr>
              <w:t xml:space="preserve">Introduction</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2</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Explain the scientific background and rationale for the investigation being reported</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Introduction, paragraphs 1–2 (evidence base, neo-materialist vs psychosocial debate)</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3</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State specific objectives, including any prespecified hypotheses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Introduction, paragraph 3 (</w:t>
            </w:r>
            <w:r>
              <w:rPr>
                <w:rFonts w:ascii="Times New Roman" w:hAnsi="Times New Roman"/>
                <w:sz w:val="18"/>
              </w:rPr>
              <w:t xml:space="preserve">“to directly compare objective financial hardship indicators and subjective economic dissatisfaction as predictors of all-cause mortality”</w:t>
            </w:r>
            <w:r>
              <w:rPr>
                <w:rFonts w:ascii="Times New Roman" w:hAnsi="Times New Roman"/>
                <w:sz w:val="18"/>
              </w:rPr>
              <w:t xml:space="preserve">)</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b/>
                <w:bCs/>
                <w:sz w:val="18"/>
              </w:rPr>
              <w:t xml:space="preserve">Methods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4</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Present key elements of study design early in the paper</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“Study design, ethics, and patient involvement”</w:t>
            </w:r>
            <w:r>
              <w:rPr>
                <w:rFonts w:ascii="Times New Roman" w:hAnsi="Times New Roman"/>
                <w:sz w:val="18"/>
              </w:rPr>
              <w:t xml:space="preserve"> </w:t>
            </w:r>
            <w:r>
              <w:rPr>
                <w:rFonts w:ascii="Times New Roman" w:hAnsi="Times New Roman"/>
                <w:sz w:val="18"/>
              </w:rPr>
              <w:t xml:space="preserve">(prospective cohort, KLoSA 2006–2022)</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5</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Describe the setting, locations, and relevant dates, including periods of recruitment, exposure, follow-up, and data collection</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“Study design”</w:t>
            </w:r>
            <w:r>
              <w:rPr>
                <w:rFonts w:ascii="Times New Roman" w:hAnsi="Times New Roman"/>
                <w:sz w:val="18"/>
              </w:rPr>
              <w:t xml:space="preserve"> </w:t>
            </w:r>
            <w:r>
              <w:rPr>
                <w:rFonts w:ascii="Times New Roman" w:hAnsi="Times New Roman"/>
                <w:sz w:val="18"/>
              </w:rPr>
              <w:t xml:space="preserve">(2006–2022, biennial waves, mean follow-up 12.5 years)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6</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(a) Give the eligibility criteria, and the sources and methods of selection of participants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“Study design”</w:t>
            </w:r>
            <w:r>
              <w:rPr>
                <w:rFonts w:ascii="Times New Roman" w:hAnsi="Times New Roman"/>
                <w:sz w:val="18"/>
              </w:rPr>
              <w:t xml:space="preserve"> </w:t>
            </w:r>
            <w:r>
              <w:rPr>
                <w:rFonts w:ascii="Times New Roman" w:hAnsi="Times New Roman"/>
                <w:sz w:val="18"/>
              </w:rPr>
              <w:t xml:space="preserve">(community-dwelling adults aged &gt;=45, wave-1 cohort + wave-5 refreshment, positive follow-up time)</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(b) For matched studies, give matching criteria and number of exposed and unexposed</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Not applicable (unmatched cohort)</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7</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Clearly define all outcomes, exposures, predictors, potential confounders, and effect modifiers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“Exposures”</w:t>
            </w:r>
            <w:r>
              <w:rPr>
                <w:rFonts w:ascii="Times New Roman" w:hAnsi="Times New Roman"/>
                <w:sz w:val="18"/>
              </w:rPr>
              <w:t xml:space="preserve"> </w:t>
            </w:r>
            <w:r>
              <w:rPr>
                <w:rFonts w:ascii="Times New Roman" w:hAnsi="Times New Roman"/>
                <w:sz w:val="18"/>
              </w:rPr>
              <w:t xml:space="preserve">(economic satisfaction, low income, welfare receipt, low net assets, wealth shocks);</w:t>
            </w:r>
            <w:r>
              <w:rPr>
                <w:rFonts w:ascii="Times New Roman" w:hAnsi="Times New Roman"/>
                <w:sz w:val="18"/>
              </w:rPr>
              <w:t xml:space="preserve"> </w:t>
            </w:r>
            <w:r>
              <w:rPr>
                <w:rFonts w:ascii="Times New Roman" w:hAnsi="Times New Roman"/>
                <w:sz w:val="18"/>
              </w:rPr>
              <w:t xml:space="preserve">“Outcome, covariates, and statistical analysis”</w:t>
            </w:r>
            <w:r>
              <w:rPr>
                <w:rFonts w:ascii="Times New Roman" w:hAnsi="Times New Roman"/>
                <w:sz w:val="18"/>
              </w:rPr>
              <w:t xml:space="preserve"> </w:t>
            </w:r>
            <w:r>
              <w:rPr>
                <w:rFonts w:ascii="Times New Roman" w:hAnsi="Times New Roman"/>
                <w:sz w:val="18"/>
              </w:rPr>
              <w:t xml:space="preserve">(all-cause mortality, DAG-identified confounders vs mediators)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8</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For each variable of interest, give sources of data and details of methods of assessment (measurement)</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“Exposures”</w:t>
            </w:r>
            <w:r>
              <w:rPr>
                <w:rFonts w:ascii="Times New Roman" w:hAnsi="Times New Roman"/>
                <w:sz w:val="18"/>
              </w:rPr>
              <w:t xml:space="preserve"> </w:t>
            </w:r>
            <w:r>
              <w:rPr>
                <w:rFonts w:ascii="Times New Roman" w:hAnsi="Times New Roman"/>
                <w:sz w:val="18"/>
              </w:rPr>
              <w:t xml:space="preserve">(NRS scale details, quintile definitions, construct validity);</w:t>
            </w:r>
            <w:r>
              <w:rPr>
                <w:rFonts w:ascii="Times New Roman" w:hAnsi="Times New Roman"/>
                <w:sz w:val="18"/>
              </w:rPr>
              <w:t xml:space="preserve"> </w:t>
            </w:r>
            <w:r>
              <w:rPr>
                <w:rFonts w:ascii="Times New Roman" w:hAnsi="Times New Roman"/>
                <w:sz w:val="18"/>
              </w:rPr>
              <w:t xml:space="preserve">“Outcome”</w:t>
            </w:r>
            <w:r>
              <w:rPr>
                <w:rFonts w:ascii="Times New Roman" w:hAnsi="Times New Roman"/>
                <w:sz w:val="18"/>
              </w:rPr>
              <w:t xml:space="preserve"> </w:t>
            </w:r>
            <w:r>
              <w:rPr>
                <w:rFonts w:ascii="Times New Roman" w:hAnsi="Times New Roman"/>
                <w:sz w:val="18"/>
              </w:rPr>
              <w:t xml:space="preserve">(proxy exit interviews)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9</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Describe any efforts to address potential sources of bias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 (DAG for confounder identification, discordance analysis with collider bias caveat, ridge penalty for collinearity, LOCF for missing data, multiple imputation for combined model, marginal structural models with IPTW for time-varying confounding, sensitivity analyses); Discussion,</w:t>
            </w:r>
            <w:r>
              <w:rPr>
                <w:rFonts w:ascii="Times New Roman" w:hAnsi="Times New Roman"/>
                <w:sz w:val="18"/>
              </w:rPr>
              <w:t xml:space="preserve"> </w:t>
            </w:r>
            <w:r>
              <w:rPr>
                <w:rFonts w:ascii="Times New Roman" w:hAnsi="Times New Roman"/>
                <w:sz w:val="18"/>
              </w:rPr>
              <w:t xml:space="preserve">“Limitations”</w:t>
            </w:r>
            <w:r>
              <w:rPr>
                <w:rFonts w:ascii="Times New Roman" w:hAnsi="Times New Roman"/>
                <w:sz w:val="18"/>
              </w:rPr>
              <w:t xml:space="preserve"> </w:t>
            </w:r>
            <w:r>
              <w:rPr>
                <w:rFonts w:ascii="Times New Roman" w:hAnsi="Times New Roman"/>
                <w:sz w:val="18"/>
              </w:rPr>
              <w:t xml:space="preserve">(quantitative bias analysis for neuroticism confounding)</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10</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Explain how the study size was arrived at</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“Study design”</w:t>
            </w:r>
            <w:r>
              <w:rPr>
                <w:rFonts w:ascii="Times New Roman" w:hAnsi="Times New Roman"/>
                <w:sz w:val="18"/>
              </w:rPr>
              <w:t xml:space="preserve"> </w:t>
            </w:r>
            <w:r>
              <w:rPr>
                <w:rFonts w:ascii="Times New Roman" w:hAnsi="Times New Roman"/>
                <w:sz w:val="18"/>
              </w:rPr>
              <w:t xml:space="preserve">(N=10,335; 9,436 + 899 refreshment with positive follow-up time); post-hoc power calculation for wealth shock analysis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11</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Explain how quantitative variables were handled in the analyses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“Exposures”</w:t>
            </w:r>
            <w:r>
              <w:rPr>
                <w:rFonts w:ascii="Times New Roman" w:hAnsi="Times New Roman"/>
                <w:sz w:val="18"/>
              </w:rPr>
              <w:t xml:space="preserve"> </w:t>
            </w:r>
            <w:r>
              <w:rPr>
                <w:rFonts w:ascii="Times New Roman" w:hAnsi="Times New Roman"/>
                <w:sz w:val="18"/>
              </w:rPr>
              <w:t xml:space="preserve">(bottom quintile dichotomisation and continuous per 10-point modelling);</w:t>
            </w:r>
            <w:r>
              <w:rPr>
                <w:rFonts w:ascii="Times New Roman" w:hAnsi="Times New Roman"/>
                <w:sz w:val="18"/>
              </w:rPr>
              <w:t xml:space="preserve"> </w:t>
            </w:r>
            <w:r>
              <w:rPr>
                <w:rFonts w:ascii="Times New Roman" w:hAnsi="Times New Roman"/>
                <w:sz w:val="18"/>
              </w:rPr>
              <w:t xml:space="preserve">“Outcome, covariates”</w:t>
            </w:r>
            <w:r>
              <w:rPr>
                <w:rFonts w:ascii="Times New Roman" w:hAnsi="Times New Roman"/>
                <w:sz w:val="18"/>
              </w:rPr>
              <w:t xml:space="preserve"> </w:t>
            </w:r>
            <w:r>
              <w:rPr>
                <w:rFonts w:ascii="Times New Roman" w:hAnsi="Times New Roman"/>
                <w:sz w:val="18"/>
              </w:rPr>
              <w:t xml:space="preserve">(continuous CES-D-10, continuous BMI)</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12</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(a) Describe all statistical methods, including those used to control for confounding</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“Outcome, covariates, and statistical analysis”</w:t>
            </w:r>
            <w:r>
              <w:rPr>
                <w:rFonts w:ascii="Times New Roman" w:hAnsi="Times New Roman"/>
                <w:sz w:val="18"/>
              </w:rPr>
              <w:t xml:space="preserve"> </w:t>
            </w:r>
            <w:r>
              <w:rPr>
                <w:rFonts w:ascii="Times New Roman" w:hAnsi="Times New Roman"/>
                <w:sz w:val="18"/>
              </w:rPr>
              <w:t xml:space="preserve">(Cox PH, three-stage adjustment, discordance analysis, time-varying start-stop format, ridge penalty)</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(b) Describe any methods used to examine subgroups and interactions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 (subgroup analyses: sex, age, marital status, chronic disease; eTable 2)</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(c) Explain how missing data were addressed</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 (LOCF for depression and chronic disease, 24–27% of person-waves); Limitations (</w:t>
            </w:r>
            <w:r>
              <w:rPr>
                <w:rFonts w:ascii="Times New Roman" w:hAnsi="Times New Roman"/>
                <w:sz w:val="18"/>
              </w:rPr>
              <w:t xml:space="preserve">“Measurement”</w:t>
            </w:r>
            <w:r>
              <w:rPr>
                <w:rFonts w:ascii="Times New Roman" w:hAnsi="Times New Roman"/>
                <w:sz w:val="18"/>
              </w:rPr>
              <w:t xml:space="preserve">)</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 If applicable, describe analytical methods taking account of sampling strategy</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Survey weights not applied (lifelines does not support survey-weighted Cox models)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(e) Describe any sensitivity analyses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 (early death exclusion, refreshment sample exclusion, healthy-at-baseline, time-partitioned, penalised/unpenalised, alternative dichotomisation thresholds, restricted cubic splines, multiple imputation M=20, marginal structural models with stabilised IPTW and bootstrap CIs, post-hoc power calculation)</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b/>
                <w:bCs/>
                <w:sz w:val="18"/>
              </w:rPr>
              <w:t xml:space="preserve">Results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13</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(a) Report numbers of individuals at each stage of study — e.g., numbers potentially eligible, examined for eligibility, confirmed eligible, included in the study, completing follow-up, and analysed</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Results,</w:t>
            </w:r>
            <w:r>
              <w:rPr>
                <w:rFonts w:ascii="Times New Roman" w:hAnsi="Times New Roman"/>
                <w:sz w:val="18"/>
              </w:rPr>
              <w:t xml:space="preserve"> </w:t>
            </w:r>
            <w:r>
              <w:rPr>
                <w:rFonts w:ascii="Times New Roman" w:hAnsi="Times New Roman"/>
                <w:sz w:val="18"/>
              </w:rPr>
              <w:t xml:space="preserve">“Baseline characteristics”</w:t>
            </w:r>
            <w:r>
              <w:rPr>
                <w:rFonts w:ascii="Times New Roman" w:hAnsi="Times New Roman"/>
                <w:sz w:val="18"/>
              </w:rPr>
              <w:t xml:space="preserve"> </w:t>
            </w:r>
            <w:r>
              <w:rPr>
                <w:rFonts w:ascii="Times New Roman" w:hAnsi="Times New Roman"/>
                <w:sz w:val="18"/>
              </w:rPr>
              <w:t xml:space="preserve">(N=10,335; 9,019 with both measures; 8,547 in discordance Cox models; 4,998 in combined model); eTable 5 (wave-by-wave retention)</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(b) Give reasons for non-participation at each stage</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“Study design”</w:t>
            </w:r>
            <w:r>
              <w:rPr>
                <w:rFonts w:ascii="Times New Roman" w:hAnsi="Times New Roman"/>
                <w:sz w:val="18"/>
              </w:rPr>
              <w:t xml:space="preserve"> </w:t>
            </w:r>
            <w:r>
              <w:rPr>
                <w:rFonts w:ascii="Times New Roman" w:hAnsi="Times New Roman"/>
                <w:sz w:val="18"/>
              </w:rPr>
              <w:t xml:space="preserve">(positive follow-up time requirement); Results (combined model N=4,998: listwise deletion requiring all four measures)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(c) Consider use of a flow diagram</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Not included; participant flow described in text</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14</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(a) Give characteristics of study participants and information on exposures and potential confounders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Table 1 (baseline characteristics by economic satisfaction status)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(b) Indicate number of participants with missing data for each variable of interest</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eTable 1 (correlation Ns vary by measure availability); Methods (24–27% LOCF for depression/chronic disease)</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(c) Summarise follow-up time</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Results,</w:t>
            </w:r>
            <w:r>
              <w:rPr>
                <w:rFonts w:ascii="Times New Roman" w:hAnsi="Times New Roman"/>
                <w:sz w:val="18"/>
              </w:rPr>
              <w:t xml:space="preserve"> </w:t>
            </w:r>
            <w:r>
              <w:rPr>
                <w:rFonts w:ascii="Times New Roman" w:hAnsi="Times New Roman"/>
                <w:sz w:val="18"/>
              </w:rPr>
              <w:t xml:space="preserve">“Baseline characteristics”</w:t>
            </w:r>
            <w:r>
              <w:rPr>
                <w:rFonts w:ascii="Times New Roman" w:hAnsi="Times New Roman"/>
                <w:sz w:val="18"/>
              </w:rPr>
              <w:t xml:space="preserve"> </w:t>
            </w:r>
            <w:r>
              <w:rPr>
                <w:rFonts w:ascii="Times New Roman" w:hAnsi="Times New Roman"/>
                <w:sz w:val="18"/>
              </w:rPr>
              <w:t xml:space="preserve">(mean 12.5 years, SD 4.5); eTable 5 (wave-by-wave retention)</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15</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Report numbers of outcome events or summary measures over time</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Results (3,025 deaths, 29.3%); Table 3 (person-intervals and events for time-varying models)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16</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(a) Give unadjusted estimates and, if applicable, confounder-adjusted estimates and their precision</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Table 2, Panels A–D (unadjusted through fully adjusted HRs with 95% CIs)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(b) Report category boundaries when continuous variables were categorised</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“Exposures”</w:t>
            </w:r>
            <w:r>
              <w:rPr>
                <w:rFonts w:ascii="Times New Roman" w:hAnsi="Times New Roman"/>
                <w:sz w:val="18"/>
              </w:rPr>
              <w:t xml:space="preserve"> </w:t>
            </w:r>
            <w:r>
              <w:rPr>
                <w:rFonts w:ascii="Times New Roman" w:hAnsi="Times New Roman"/>
                <w:sz w:val="18"/>
              </w:rPr>
              <w:t xml:space="preserve">(bottom quintile &lt;=30 on 0–100 scale, four lowest categories, 29% of sample)</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(c) If relevant, consider translating estimates of relative risk into absolute risk for a meaningful time period</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Not reported (relative hazard ratios used throughout)</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17</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Report other analyses done — e.g., analyses of subgroups and interactions, and sensitivity analyses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Results,</w:t>
            </w:r>
            <w:r>
              <w:rPr>
                <w:rFonts w:ascii="Times New Roman" w:hAnsi="Times New Roman"/>
                <w:sz w:val="18"/>
              </w:rPr>
              <w:t xml:space="preserve"> </w:t>
            </w:r>
            <w:r>
              <w:rPr>
                <w:rFonts w:ascii="Times New Roman" w:hAnsi="Times New Roman"/>
                <w:sz w:val="18"/>
              </w:rPr>
              <w:t xml:space="preserve">“Sensitivity analyses”</w:t>
            </w:r>
            <w:r>
              <w:rPr>
                <w:rFonts w:ascii="Times New Roman" w:hAnsi="Times New Roman"/>
                <w:sz w:val="18"/>
              </w:rPr>
              <w:t xml:space="preserve"> </w:t>
            </w:r>
            <w:r>
              <w:rPr>
                <w:rFonts w:ascii="Times New Roman" w:hAnsi="Times New Roman"/>
                <w:sz w:val="18"/>
              </w:rPr>
              <w:t xml:space="preserve">(early death exclusion, refreshment exclusion, healthy-at-baseline, time-partitioned, alternative cut-points, restricted cubic splines); eTable 2 (subgroups); eTable 4 (sensitivity analyses including income equivalisation); eTable 6 (cut-point sensitivity); eTable 7 (multiple imputation); eTable 8 (marginal structural models with IPTW and bootstrap CIs); eTable 9 (Basic Pension expansion analysis); eFigure 4 (spline dose-response); Discussion, quantitative bias analysis for neuroticism confounding</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b/>
                <w:bCs/>
                <w:sz w:val="18"/>
              </w:rPr>
              <w:t xml:space="preserve">Discussion</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18</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Summarise key results with reference to study objectives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Discussion, opening paragraph</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19</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Discuss limitations of the study, taking into account sources of potential bias or imprecision</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Discussion,</w:t>
            </w:r>
            <w:r>
              <w:rPr>
                <w:rFonts w:ascii="Times New Roman" w:hAnsi="Times New Roman"/>
                <w:sz w:val="18"/>
              </w:rPr>
              <w:t xml:space="preserve"> </w:t>
            </w:r>
            <w:r>
              <w:rPr>
                <w:rFonts w:ascii="Times New Roman" w:hAnsi="Times New Roman"/>
                <w:sz w:val="18"/>
              </w:rPr>
              <w:t xml:space="preserve">“Limitations”</w:t>
            </w:r>
            <w:r>
              <w:rPr>
                <w:rFonts w:ascii="Times New Roman" w:hAnsi="Times New Roman"/>
                <w:sz w:val="18"/>
              </w:rPr>
              <w:t xml:space="preserve"> </w:t>
            </w:r>
            <w:r>
              <w:rPr>
                <w:rFonts w:ascii="Times New Roman" w:hAnsi="Times New Roman"/>
                <w:sz w:val="18"/>
              </w:rPr>
              <w:t xml:space="preserve">(Measurement; Confounding and causal inference; Data quality and analytic choices)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20</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Give a cautious overall interpretation of results considering objectives, limitations, multiplicity of analyses, results from similar studies, and other relevant evidence</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Discussion,</w:t>
            </w:r>
            <w:r>
              <w:rPr>
                <w:rFonts w:ascii="Times New Roman" w:hAnsi="Times New Roman"/>
                <w:sz w:val="18"/>
              </w:rPr>
              <w:t xml:space="preserve"> </w:t>
            </w:r>
            <w:r>
              <w:rPr>
                <w:rFonts w:ascii="Times New Roman" w:hAnsi="Times New Roman"/>
                <w:sz w:val="18"/>
              </w:rPr>
              <w:t xml:space="preserve">“Reconciling baseline and time-varying results,”</w:t>
            </w:r>
            <w:r>
              <w:rPr>
                <w:rFonts w:ascii="Times New Roman" w:hAnsi="Times New Roman"/>
                <w:sz w:val="18"/>
              </w:rPr>
              <w:t xml:space="preserve"> </w:t>
            </w:r>
            <w:r>
              <w:rPr>
                <w:rFonts w:ascii="Times New Roman" w:hAnsi="Times New Roman"/>
                <w:sz w:val="18"/>
              </w:rPr>
              <w:t xml:space="preserve">“Mechanisms and alternative explanations,”</w:t>
            </w:r>
            <w:r>
              <w:rPr>
                <w:rFonts w:ascii="Times New Roman" w:hAnsi="Times New Roman"/>
                <w:sz w:val="18"/>
              </w:rPr>
              <w:t xml:space="preserve"> </w:t>
            </w:r>
            <w:r>
              <w:rPr>
                <w:rFonts w:ascii="Times New Roman" w:hAnsi="Times New Roman"/>
                <w:sz w:val="18"/>
              </w:rPr>
              <w:t xml:space="preserve">“Implications”</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21</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Discuss the generalisability (external validity) of the study results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Discussion,</w:t>
            </w:r>
            <w:r>
              <w:rPr>
                <w:rFonts w:ascii="Times New Roman" w:hAnsi="Times New Roman"/>
                <w:sz w:val="18"/>
              </w:rPr>
              <w:t xml:space="preserve"> </w:t>
            </w:r>
            <w:r>
              <w:rPr>
                <w:rFonts w:ascii="Times New Roman" w:hAnsi="Times New Roman"/>
                <w:sz w:val="18"/>
              </w:rPr>
              <w:t xml:space="preserve">“Comparison with previous literature”</w:t>
            </w:r>
            <w:r>
              <w:rPr>
                <w:rFonts w:ascii="Times New Roman" w:hAnsi="Times New Roman"/>
                <w:sz w:val="18"/>
              </w:rPr>
              <w:t xml:space="preserve"> </w:t>
            </w:r>
            <w:r>
              <w:rPr>
                <w:rFonts w:ascii="Times New Roman" w:hAnsi="Times New Roman"/>
                <w:sz w:val="18"/>
              </w:rPr>
              <w:t xml:space="preserve">(Korean context); Limitations (</w:t>
            </w:r>
            <w:r>
              <w:rPr>
                <w:rFonts w:ascii="Times New Roman" w:hAnsi="Times New Roman"/>
                <w:sz w:val="18"/>
              </w:rPr>
              <w:t xml:space="preserve">“Measurement”</w:t>
            </w:r>
            <w:r>
              <w:rPr>
                <w:rFonts w:ascii="Times New Roman" w:hAnsi="Times New Roman"/>
                <w:sz w:val="18"/>
              </w:rPr>
              <w:t xml:space="preserve"> </w:t>
            </w:r>
            <w:r>
              <w:rPr>
                <w:rFonts w:ascii="Times New Roman" w:hAnsi="Times New Roman"/>
                <w:sz w:val="18"/>
              </w:rPr>
              <w:t xml:space="preserve">– East Asian response styles); Implications (universal coverage generalisability)</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22</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Give the source of funding and the role of the funders</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“Role of the funding source”</w:t>
            </w:r>
            <w:r>
              <w:rPr>
                <w:rFonts w:ascii="Times New Roman" w:hAnsi="Times New Roman"/>
                <w:sz w:val="18"/>
              </w:rPr>
              <w:t xml:space="preserve"> </w:t>
            </w:r>
            <w:r>
              <w:rPr>
                <w:rFonts w:ascii="Times New Roman" w:hAnsi="Times New Roman"/>
                <w:sz w:val="18"/>
              </w:rPr>
              <w:t xml:space="preserve">(no specific funding; corresponding author had full access and responsibility)</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b/>
                <w:bCs/>
                <w:sz w:val="18"/>
              </w:rPr>
              <w:t xml:space="preserve">Other information</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Ethics approval</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w:t>
            </w:r>
            <w:r>
              <w:rPr>
                <w:rFonts w:ascii="Times New Roman" w:hAnsi="Times New Roman"/>
                <w:sz w:val="18"/>
              </w:rPr>
              <w:t xml:space="preserve"> </w:t>
            </w:r>
            <w:r>
              <w:rPr>
                <w:rFonts w:ascii="Times New Roman" w:hAnsi="Times New Roman"/>
                <w:sz w:val="18"/>
              </w:rPr>
              <w:t xml:space="preserve">“Study design, ethics, and patient involvement”</w:t>
            </w:r>
            <w:r>
              <w:rPr>
                <w:rFonts w:ascii="Times New Roman" w:hAnsi="Times New Roman"/>
                <w:sz w:val="18"/>
              </w:rPr>
              <w:t xml:space="preserve"> </w:t>
            </w:r>
            <w:r>
              <w:rPr>
                <w:rFonts w:ascii="Times New Roman" w:hAnsi="Times New Roman"/>
                <w:sz w:val="18"/>
              </w:rPr>
              <w:t xml:space="preserve">(exempt; de-identified publicly available data)</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Data sharing</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Data sharing section (KLoSA publicly available; analysis code on GitHub)</w:t>
            </w:r>
          </w:p>
        </w:tc>
      </w:tr>
      <w:tr>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left"/>
            </w:pPr>
            <w:r>
              <w:rPr>
                <w:rFonts w:ascii="Times New Roman" w:hAnsi="Times New Roman"/>
                <w:sz w:val="18"/>
              </w:rPr>
              <w:t xml:space="preserve">–</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Registration</w:t>
            </w:r>
          </w:p>
        </w:tc>
        <w:tc>
          <w:tcPr>
            <w:tcMar>
              <w:top w:w="30" w:type="dxa"/>
              <w:bottom w:w="30" w:type="dxa"/>
              <w:left w:w="60" w:type="dxa"/>
              <w:right w:w="60" w:type="dxa"/>
            </w:tcMar>
            <w:tcBorders>
              <w:top w:val="none" w:sz="0" w:space="0" w:color="auto"/>
              <w:bottom w:val="none" w:sz="0" w:space="0" w:color="auto"/>
              <w:left w:val="none" w:sz="0" w:space="0" w:color="auto"/>
              <w:right w:val="none" w:sz="0" w:space="0" w:color="auto"/>
            </w:tcBorders>
          </w:tcPr>
          <w:p>
            <w:pPr>
              <w:pStyle w:val="Compact"/>
              <w:jc w:val="center"/>
            </w:pPr>
            <w:r>
              <w:rPr>
                <w:rFonts w:ascii="Times New Roman" w:hAnsi="Times New Roman"/>
                <w:sz w:val="18"/>
              </w:rPr>
              <w:t xml:space="preserve">Methods (study was not pre-registered)</w:t>
            </w:r>
          </w:p>
        </w:tc>
      </w:tr>
      <w:tr>
        <w:tc>
          <w:tcPr>
            <w:tcMar>
              <w:top w:w="30" w:type="dxa"/>
              <w:bottom w:w="30" w:type="dxa"/>
              <w:left w:w="60" w:type="dxa"/>
              <w:right w:w="60" w:type="dxa"/>
            </w:tcMar>
            <w:tcBorders>
              <w:top w:val="none" w:sz="0" w:space="0" w:color="auto"/>
              <w:bottom w:val="single" w:sz="8" w:space="0" w:color="000000"/>
              <w:left w:val="none" w:sz="0" w:space="0" w:color="auto"/>
              <w:right w:val="none" w:sz="0" w:space="0" w:color="auto"/>
            </w:tcBorders>
          </w:tcPr>
          <w:p>
            <w:pPr>
              <w:pStyle w:val="Compact"/>
              <w:jc w:val="left"/>
            </w:pPr>
            <w:r>
              <w:rPr>
                <w:rFonts w:ascii="Times New Roman" w:hAnsi="Times New Roman"/>
                <w:sz w:val="18"/>
              </w:rPr>
              <w:t xml:space="preserve">–</w:t>
            </w:r>
          </w:p>
        </w:tc>
        <w:tc>
          <w:tcPr>
            <w:tcMar>
              <w:top w:w="30" w:type="dxa"/>
              <w:bottom w:w="30" w:type="dxa"/>
              <w:left w:w="60" w:type="dxa"/>
              <w:right w:w="60" w:type="dxa"/>
            </w:tcMar>
            <w:tcBorders>
              <w:top w:val="none" w:sz="0" w:space="0" w:color="auto"/>
              <w:bottom w:val="single" w:sz="8" w:space="0" w:color="000000"/>
              <w:left w:val="none" w:sz="0" w:space="0" w:color="auto"/>
              <w:right w:val="none" w:sz="0" w:space="0" w:color="auto"/>
            </w:tcBorders>
          </w:tcPr>
          <w:p>
            <w:pPr>
              <w:pStyle w:val="Compact"/>
              <w:jc w:val="center"/>
            </w:pPr>
            <w:r>
              <w:rPr>
                <w:rFonts w:ascii="Times New Roman" w:hAnsi="Times New Roman"/>
                <w:sz w:val="18"/>
              </w:rPr>
              <w:t xml:space="preserve">STROBE statement</w:t>
            </w:r>
          </w:p>
        </w:tc>
        <w:tc>
          <w:tcPr>
            <w:tcMar>
              <w:top w:w="30" w:type="dxa"/>
              <w:bottom w:w="30" w:type="dxa"/>
              <w:left w:w="60" w:type="dxa"/>
              <w:right w:w="60" w:type="dxa"/>
            </w:tcMar>
            <w:tcBorders>
              <w:top w:val="none" w:sz="0" w:space="0" w:color="auto"/>
              <w:bottom w:val="single" w:sz="8" w:space="0" w:color="000000"/>
              <w:left w:val="none" w:sz="0" w:space="0" w:color="auto"/>
              <w:right w:val="none" w:sz="0" w:space="0" w:color="auto"/>
            </w:tcBorders>
          </w:tcPr>
          <w:p>
            <w:pPr>
              <w:pStyle w:val="Compact"/>
              <w:jc w:val="center"/>
            </w:pPr>
            <w:r>
              <w:rPr>
                <w:rFonts w:ascii="Times New Roman" w:hAnsi="Times New Roman"/>
                <w:sz w:val="18"/>
              </w:rPr>
              <w:t xml:space="preserve">Methods (</w:t>
            </w:r>
            <w:r>
              <w:rPr>
                <w:rFonts w:ascii="Times New Roman" w:hAnsi="Times New Roman"/>
                <w:sz w:val="18"/>
              </w:rPr>
              <w:t xml:space="preserve">“The study follows STROBE guidelines”</w:t>
            </w:r>
            <w:r>
              <w:rPr>
                <w:rFonts w:ascii="Times New Roman" w:hAnsi="Times New Roman"/>
                <w:sz w:val="18"/>
              </w:rPr>
              <w:t xml:space="preserve">)</w:t>
            </w:r>
          </w:p>
        </w:tc>
      </w:tr>
    </w:tbl>
    <w:p>
      <w:r>
        <w:rPr>
          <w:rFonts w:ascii="Times New Roman" w:hAnsi="Times New Roman" w:eastAsia="Times New Roman"/>
        </w:rPr>
        <w:pict>
          <v:rect style="width:0;height:1.5pt" o:hralign="center" o:hrstd="t" o:hr="t"/>
        </w:pict>
      </w:r>
    </w:p>
    <w:p>
      <w:pPr>
        <w:pStyle w:val="FirstParagraph"/>
      </w:pPr>
      <w:r>
        <w:rPr>
          <w:rFonts w:ascii="Times New Roman" w:hAnsi="Times New Roman" w:eastAsia="Times New Roman"/>
          <w:i/>
          <w:iCs/>
        </w:rPr>
        <w:t xml:space="preserve">Checklist completed for the submitted manuscript.</w:t>
      </w:r>
    </w:p>
    <w:bookmarkEnd w:id="9"/>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sz w:val="24"/>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sz w:val="24"/>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4"/>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Color="text1" w:themeTint="A6" w:val="595959"/>
      <w:spacing w:val="15"/>
      <w:sz w:val="24"/>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sz w:val="24"/>
      <w:szCs w:val="20"/>
    </w:rPr>
  </w:style>
  <w:style w:styleId="Bibliography" w:type="paragraph">
    <w:name w:val="Bibliography"/>
    <w:basedOn w:val="Normal"/>
    <w:next w:val="Bibliography"/>
    <w:qFormat/>
    <w:pPr/>
    <w:rPr>
      <w:rFonts w:ascii="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cs="Times New Roman" w:eastAsia="Times New Roman"/>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cs="Times New Roman" w:eastAsia="Times New Roman"/>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s="Times New Roman" w:eastAsia="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cs="Times New Roman" w:eastAsia="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Color="text1" w:themeTint="D8" w:val="272727"/>
      <w:sz w:val="24"/>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val="000000"/>
      <w:sz w:val="24"/>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val="000000"/>
      <w:sz w:val="24"/>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sz w:val="24"/>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sz w:val="24"/>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Color="text1" w:themeTint="A6" w:val="595959"/>
      <w:sz w:val="24"/>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Color="text1" w:themeTint="A6" w:val="595959"/>
      <w:sz w:val="24"/>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Color="text1" w:themeTint="D8" w:val="272727"/>
      <w:sz w:val="24"/>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Color="text1" w:themeTint="D8" w:val="272727"/>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rPr>
      <w:rFonts w:ascii="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sz w:val="24"/>
    </w:r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rPr>
      <w:rFonts w:ascii="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sz w:val="24"/>
    </w:rPr>
  </w:style>
  <w:style w:customStyle="1" w:styleId="Definition" w:type="paragraph">
    <w:name w:val="Definition"/>
    <w:basedOn w:val="Normal"/>
    <w:rPr>
      <w:rFonts w:ascii="Times New Roman" w:hAnsi="Times New Roman"/>
      <w:sz w:val="24"/>
    </w:rPr>
  </w:style>
  <w:style w:styleId="Caption" w:type="paragraph">
    <w:name w:val="Caption"/>
    <w:basedOn w:val="Normal"/>
    <w:link w:val="BodyTextChar"/>
    <w:pPr>
      <w:spacing w:after="120" w:before="0"/>
    </w:pPr>
    <w:rPr>
      <w:rFonts w:ascii="Times New Roman" w:hAnsi="Times New Roman"/>
      <w:i/>
      <w:sz w:val="24"/>
    </w:rPr>
  </w:style>
  <w:style w:customStyle="1" w:styleId="TableCaption" w:type="paragraph">
    <w:name w:val="Table Caption"/>
    <w:basedOn w:val="Caption"/>
    <w:pPr>
      <w:keepNext/>
    </w:pPr>
    <w:rPr>
      <w:rFonts w:ascii="Times New Roman" w:hAnsi="Times New Roman"/>
      <w:sz w:val="24"/>
    </w:rPr>
  </w:style>
  <w:style w:customStyle="1" w:styleId="ImageCaption" w:type="paragraph">
    <w:name w:val="Image Caption"/>
    <w:basedOn w:val="Caption"/>
    <w:rPr>
      <w:rFonts w:ascii="Times New Roman" w:hAnsi="Times New Roman"/>
      <w:sz w:val="24"/>
    </w:rPr>
  </w:style>
  <w:style w:customStyle="1" w:styleId="Figure" w:type="paragraph">
    <w:name w:val="Figure"/>
    <w:basedOn w:val="Normal"/>
    <w:rPr>
      <w:rFonts w:ascii="Times New Roman" w:hAnsi="Times New Roman"/>
      <w:sz w:val="24"/>
    </w:rPr>
  </w:style>
  <w:style w:customStyle="1" w:styleId="CaptionedFigure" w:type="paragraph">
    <w:name w:val="Captioned Figure"/>
    <w:basedOn w:val="Figure"/>
    <w:pPr>
      <w:keepNext/>
    </w:pPr>
    <w:rPr>
      <w:rFonts w:ascii="Times New Roman" w:hAnsi="Times New Roman"/>
      <w:sz w:val="24"/>
    </w:rPr>
  </w:style>
  <w:style w:customStyle="1" w:styleId="BodyTextChar" w:type="character">
    <w:name w:val="Body Text Char"/>
    <w:basedOn w:val="DefaultParagraphFont"/>
    <w:link w:val="BodyText"/>
    <w:rPr>
      <w:rFonts w:ascii="Times New Roman" w:hAnsi="Times New Roman"/>
      <w:sz w:val="24"/>
    </w:rPr>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rPr>
      <w:rFonts w:ascii="Times New Roman" w:hAnsi="Times New Roman"/>
      <w:sz w:val="24"/>
    </w:rPr>
  </w:style>
  <w:style w:styleId="FootnoteReference" w:type="character">
    <w:name w:val="Footnote Reference"/>
    <w:basedOn w:val="BodyTextChar"/>
    <w:rPr>
      <w:rFonts w:ascii="Times New Roman" w:hAnsi="Times New Roman"/>
      <w:sz w:val="24"/>
      <w:vertAlign w:val="superscript"/>
    </w:rPr>
  </w:style>
  <w:style w:styleId="Hyperlink" w:type="character">
    <w:name w:val="Hyperlink"/>
    <w:basedOn w:val="BodyTextChar"/>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2026-03-21T17:41:34Z</dcterms:created>
  <dcterms:modified xsi:type="dcterms:W3CDTF">2026-03-21T17:41:34Z</dcterms:modified>
</cp:coreProperties>
</file>

<file path=docProps/custom.xml><?xml version="1.0" encoding="utf-8"?>
<Properties xmlns="http://schemas.openxmlformats.org/officeDocument/2006/custom-properties" xmlns:vt="http://schemas.openxmlformats.org/officeDocument/2006/docPropsVTypes"/>
</file>