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36" w:lineRule="auto"/>
        <w:rPr>
          <w:rFonts w:eastAsia="仿宋"/>
          <w:b/>
          <w:bCs/>
          <w:color w:val="000000"/>
          <w:sz w:val="30"/>
        </w:rPr>
      </w:pPr>
    </w:p>
    <w:p>
      <w:pPr>
        <w:spacing w:line="336" w:lineRule="auto"/>
        <w:rPr>
          <w:rFonts w:eastAsia="仿宋"/>
          <w:b/>
          <w:bCs/>
          <w:color w:val="000000"/>
          <w:sz w:val="28"/>
          <w:szCs w:val="28"/>
        </w:rPr>
      </w:pPr>
    </w:p>
    <w:p>
      <w:pPr>
        <w:spacing w:line="312" w:lineRule="auto"/>
        <w:jc w:val="center"/>
        <w:rPr>
          <w:rFonts w:hint="default" w:ascii="宋体" w:hAnsi="宋体" w:eastAsia="宋体" w:cs="宋体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32"/>
          <w:szCs w:val="32"/>
        </w:rPr>
        <w:t>普宁市</w:t>
      </w:r>
      <w:r>
        <w:rPr>
          <w:rFonts w:hint="eastAsia" w:ascii="宋体" w:hAnsi="宋体" w:cs="宋体"/>
          <w:b/>
          <w:bCs/>
          <w:color w:val="000000"/>
          <w:sz w:val="32"/>
          <w:szCs w:val="32"/>
          <w:highlight w:val="yellow"/>
        </w:rPr>
        <w:t>2024年</w:t>
      </w:r>
      <w:r>
        <w:rPr>
          <w:rFonts w:hint="eastAsia" w:ascii="宋体" w:hAnsi="宋体" w:cs="宋体"/>
          <w:b/>
          <w:bCs/>
          <w:color w:val="000000"/>
          <w:sz w:val="32"/>
          <w:szCs w:val="32"/>
          <w:highlight w:val="yellow"/>
          <w:lang w:eastAsia="zh-CN"/>
        </w:rPr>
        <w:t>6月下半月</w:t>
      </w:r>
      <w:r>
        <w:rPr>
          <w:rFonts w:hint="eastAsia" w:ascii="宋体" w:hAnsi="宋体" w:cs="宋体"/>
          <w:b/>
          <w:bCs/>
          <w:color w:val="000000"/>
          <w:sz w:val="32"/>
          <w:szCs w:val="32"/>
        </w:rPr>
        <w:t>登革热媒介伊蚊密度监测评估情况报告</w:t>
      </w:r>
      <w:bookmarkStart w:id="0" w:name="_GoBack"/>
      <w:r>
        <w:rPr>
          <w:rFonts w:hint="eastAsia" w:ascii="宋体" w:hAnsi="宋体" w:cs="宋体"/>
          <w:b/>
          <w:bCs/>
          <w:color w:val="000000"/>
          <w:sz w:val="32"/>
          <w:szCs w:val="32"/>
          <w:lang w:eastAsia="zh-CN"/>
        </w:rPr>
        <w:t>（</w:t>
      </w:r>
      <w:r>
        <w:rPr>
          <w:rFonts w:hint="eastAsia" w:ascii="宋体" w:hAnsi="宋体" w:cs="宋体"/>
          <w:b/>
          <w:bCs/>
          <w:color w:val="000000"/>
          <w:sz w:val="32"/>
          <w:szCs w:val="32"/>
          <w:lang w:val="en-US" w:eastAsia="zh-CN"/>
        </w:rPr>
        <w:t>模拟报告）</w:t>
      </w:r>
    </w:p>
    <w:bookmarkEnd w:id="0"/>
    <w:p>
      <w:pPr>
        <w:spacing w:line="312" w:lineRule="auto"/>
        <w:rPr>
          <w:rFonts w:hint="eastAsia" w:eastAsia="仿宋_GB2312"/>
          <w:b/>
          <w:color w:val="000000"/>
          <w:sz w:val="28"/>
          <w:szCs w:val="28"/>
        </w:rPr>
      </w:pPr>
    </w:p>
    <w:p>
      <w:pPr>
        <w:spacing w:line="312" w:lineRule="auto"/>
        <w:rPr>
          <w:rFonts w:eastAsia="仿宋_GB2312"/>
          <w:b/>
          <w:color w:val="000000"/>
          <w:sz w:val="28"/>
          <w:szCs w:val="28"/>
        </w:rPr>
      </w:pPr>
    </w:p>
    <w:p>
      <w:pPr>
        <w:spacing w:line="360" w:lineRule="auto"/>
        <w:ind w:firstLine="643" w:firstLineChars="200"/>
        <w:rPr>
          <w:rFonts w:eastAsia="仿宋_GB2312"/>
          <w:b/>
          <w:color w:val="000000"/>
          <w:sz w:val="32"/>
          <w:szCs w:val="28"/>
        </w:rPr>
      </w:pPr>
      <w:r>
        <w:rPr>
          <w:rFonts w:hint="eastAsia" w:hAnsi="宋体" w:eastAsia="仿宋_GB2312"/>
          <w:b/>
          <w:color w:val="000000"/>
          <w:sz w:val="32"/>
          <w:szCs w:val="28"/>
        </w:rPr>
        <w:t>一、主要做法</w:t>
      </w:r>
    </w:p>
    <w:p>
      <w:pPr>
        <w:spacing w:line="360" w:lineRule="auto"/>
        <w:ind w:firstLine="640" w:firstLineChars="200"/>
        <w:rPr>
          <w:rFonts w:eastAsia="仿宋_GB2312"/>
          <w:color w:val="000000"/>
          <w:sz w:val="32"/>
          <w:szCs w:val="28"/>
        </w:rPr>
      </w:pPr>
      <w:r>
        <w:rPr>
          <w:rFonts w:hint="eastAsia" w:hAnsi="宋体" w:eastAsia="仿宋_GB2312"/>
          <w:color w:val="000000"/>
          <w:sz w:val="32"/>
          <w:szCs w:val="28"/>
        </w:rPr>
        <w:t>从</w:t>
      </w:r>
      <w:r>
        <w:rPr>
          <w:rFonts w:eastAsia="仿宋_GB2312"/>
          <w:color w:val="000000"/>
          <w:sz w:val="32"/>
          <w:szCs w:val="28"/>
        </w:rPr>
        <w:t>3</w:t>
      </w:r>
      <w:r>
        <w:rPr>
          <w:rFonts w:hint="eastAsia" w:hAnsi="宋体" w:eastAsia="仿宋_GB2312"/>
          <w:color w:val="000000"/>
          <w:sz w:val="32"/>
          <w:szCs w:val="28"/>
        </w:rPr>
        <w:t>月份开始，全市每月开展媒介伊蚊幼虫密度常规监测</w:t>
      </w:r>
      <w:r>
        <w:rPr>
          <w:rFonts w:hint="eastAsia" w:eastAsia="仿宋_GB2312"/>
          <w:color w:val="000000"/>
          <w:sz w:val="32"/>
          <w:szCs w:val="28"/>
        </w:rPr>
        <w:t>2</w:t>
      </w:r>
      <w:r>
        <w:rPr>
          <w:rFonts w:hint="eastAsia" w:hAnsi="宋体" w:eastAsia="仿宋_GB2312"/>
          <w:color w:val="000000"/>
          <w:sz w:val="32"/>
          <w:szCs w:val="28"/>
        </w:rPr>
        <w:t>次，媒介伊蚊成蚊密度常规监测</w:t>
      </w:r>
      <w:r>
        <w:rPr>
          <w:rFonts w:hint="eastAsia" w:eastAsia="仿宋_GB2312"/>
          <w:color w:val="000000"/>
          <w:sz w:val="32"/>
          <w:szCs w:val="28"/>
          <w:lang w:val="en-US" w:eastAsia="zh-CN"/>
        </w:rPr>
        <w:t>2</w:t>
      </w:r>
      <w:r>
        <w:rPr>
          <w:rFonts w:hint="eastAsia" w:hAnsi="宋体" w:eastAsia="仿宋_GB2312"/>
          <w:color w:val="000000"/>
          <w:sz w:val="32"/>
          <w:szCs w:val="28"/>
        </w:rPr>
        <w:t>次。监测场所包括居民区和非居民区（公园、工地、机团单位等），监测项目包括幼虫密度（布雷图指数法</w:t>
      </w:r>
      <w:r>
        <w:rPr>
          <w:rFonts w:eastAsia="仿宋_GB2312"/>
          <w:color w:val="000000"/>
          <w:sz w:val="32"/>
          <w:szCs w:val="28"/>
        </w:rPr>
        <w:t>BI</w:t>
      </w:r>
      <w:r>
        <w:rPr>
          <w:rFonts w:hint="eastAsia" w:hAnsi="宋体" w:eastAsia="仿宋_GB2312"/>
          <w:color w:val="000000"/>
          <w:sz w:val="32"/>
          <w:szCs w:val="28"/>
        </w:rPr>
        <w:t>）和成蚊密度</w:t>
      </w:r>
      <w:r>
        <w:rPr>
          <w:rFonts w:eastAsia="仿宋_GB2312"/>
          <w:color w:val="000000"/>
          <w:sz w:val="32"/>
          <w:szCs w:val="28"/>
        </w:rPr>
        <w:t>(</w:t>
      </w:r>
      <w:r>
        <w:rPr>
          <w:rFonts w:hint="eastAsia" w:hAnsi="宋体" w:eastAsia="仿宋_GB2312"/>
          <w:color w:val="000000"/>
          <w:sz w:val="32"/>
          <w:szCs w:val="28"/>
        </w:rPr>
        <w:t>诱蚊诱卵器法</w:t>
      </w:r>
      <w:r>
        <w:rPr>
          <w:rFonts w:eastAsia="仿宋_GB2312"/>
          <w:color w:val="000000"/>
          <w:sz w:val="32"/>
          <w:szCs w:val="28"/>
        </w:rPr>
        <w:t>MOI)</w:t>
      </w:r>
      <w:r>
        <w:rPr>
          <w:rFonts w:hint="eastAsia" w:hAnsi="宋体" w:eastAsia="仿宋_GB2312"/>
          <w:color w:val="000000"/>
          <w:sz w:val="32"/>
          <w:szCs w:val="28"/>
        </w:rPr>
        <w:t>，以高密度（</w:t>
      </w:r>
      <w:r>
        <w:rPr>
          <w:rFonts w:eastAsia="仿宋_GB2312"/>
          <w:color w:val="000000"/>
          <w:sz w:val="32"/>
          <w:szCs w:val="28"/>
        </w:rPr>
        <w:t>BI</w:t>
      </w:r>
      <w:r>
        <w:rPr>
          <w:rFonts w:hint="eastAsia" w:hAnsi="宋体" w:eastAsia="仿宋_GB2312"/>
          <w:color w:val="000000"/>
          <w:sz w:val="32"/>
          <w:szCs w:val="28"/>
        </w:rPr>
        <w:t>或</w:t>
      </w:r>
      <w:r>
        <w:rPr>
          <w:rFonts w:eastAsia="仿宋_GB2312"/>
          <w:color w:val="000000"/>
          <w:sz w:val="32"/>
          <w:szCs w:val="28"/>
        </w:rPr>
        <w:t>MOI&gt;20</w:t>
      </w:r>
      <w:r>
        <w:rPr>
          <w:rFonts w:hint="eastAsia" w:hAnsi="宋体" w:eastAsia="仿宋_GB2312"/>
          <w:color w:val="000000"/>
          <w:sz w:val="32"/>
          <w:szCs w:val="28"/>
        </w:rPr>
        <w:t>）、中密度（</w:t>
      </w:r>
      <w:r>
        <w:rPr>
          <w:rFonts w:eastAsia="仿宋_GB2312"/>
          <w:color w:val="000000"/>
          <w:sz w:val="32"/>
          <w:szCs w:val="28"/>
        </w:rPr>
        <w:t>10&lt;BI≤20</w:t>
      </w:r>
      <w:r>
        <w:rPr>
          <w:rFonts w:hint="eastAsia" w:hAnsi="宋体" w:eastAsia="仿宋_GB2312"/>
          <w:color w:val="000000"/>
          <w:sz w:val="32"/>
          <w:szCs w:val="28"/>
        </w:rPr>
        <w:t>或</w:t>
      </w:r>
      <w:r>
        <w:rPr>
          <w:rFonts w:eastAsia="仿宋_GB2312"/>
          <w:color w:val="000000"/>
          <w:sz w:val="32"/>
          <w:szCs w:val="28"/>
        </w:rPr>
        <w:t>10&lt;MOI≤20</w:t>
      </w:r>
      <w:r>
        <w:rPr>
          <w:rFonts w:hint="eastAsia" w:hAnsi="宋体" w:eastAsia="仿宋_GB2312"/>
          <w:color w:val="000000"/>
          <w:sz w:val="32"/>
          <w:szCs w:val="28"/>
        </w:rPr>
        <w:t>）、低密度（</w:t>
      </w:r>
      <w:r>
        <w:rPr>
          <w:rFonts w:eastAsia="仿宋_GB2312"/>
          <w:color w:val="000000"/>
          <w:sz w:val="32"/>
          <w:szCs w:val="28"/>
        </w:rPr>
        <w:t>5&lt;BI≤10</w:t>
      </w:r>
      <w:r>
        <w:rPr>
          <w:rFonts w:hint="eastAsia" w:hAnsi="宋体" w:eastAsia="仿宋_GB2312"/>
          <w:color w:val="000000"/>
          <w:sz w:val="32"/>
          <w:szCs w:val="28"/>
        </w:rPr>
        <w:t>或</w:t>
      </w:r>
      <w:r>
        <w:rPr>
          <w:rFonts w:eastAsia="仿宋_GB2312"/>
          <w:color w:val="000000"/>
          <w:sz w:val="32"/>
          <w:szCs w:val="28"/>
        </w:rPr>
        <w:t>5&lt;MOI≤10</w:t>
      </w:r>
      <w:r>
        <w:rPr>
          <w:rFonts w:hint="eastAsia" w:hAnsi="宋体" w:eastAsia="仿宋_GB2312"/>
          <w:color w:val="000000"/>
          <w:sz w:val="32"/>
          <w:szCs w:val="28"/>
        </w:rPr>
        <w:t>）、符合防控要求（</w:t>
      </w:r>
      <w:r>
        <w:rPr>
          <w:rFonts w:eastAsia="仿宋_GB2312"/>
          <w:color w:val="000000"/>
          <w:sz w:val="32"/>
          <w:szCs w:val="28"/>
        </w:rPr>
        <w:t>BI≤5,MOI≤5</w:t>
      </w:r>
      <w:r>
        <w:rPr>
          <w:rFonts w:hint="eastAsia" w:hAnsi="宋体" w:eastAsia="仿宋_GB2312"/>
          <w:color w:val="000000"/>
          <w:sz w:val="32"/>
          <w:szCs w:val="28"/>
        </w:rPr>
        <w:t>）作为风险评估依据。</w:t>
      </w:r>
    </w:p>
    <w:p>
      <w:pPr>
        <w:spacing w:line="360" w:lineRule="auto"/>
        <w:ind w:firstLine="630" w:firstLineChars="196"/>
        <w:rPr>
          <w:rFonts w:eastAsia="仿宋_GB2312"/>
          <w:b/>
          <w:bCs/>
          <w:color w:val="000000"/>
          <w:sz w:val="32"/>
          <w:szCs w:val="28"/>
        </w:rPr>
      </w:pPr>
      <w:r>
        <w:rPr>
          <w:rFonts w:hint="eastAsia" w:hAnsi="宋体" w:eastAsia="仿宋_GB2312"/>
          <w:b/>
          <w:bCs/>
          <w:color w:val="000000"/>
          <w:sz w:val="32"/>
          <w:szCs w:val="28"/>
        </w:rPr>
        <w:t>二、伊蚊密度监测结果</w:t>
      </w:r>
    </w:p>
    <w:p>
      <w:pPr>
        <w:spacing w:line="360" w:lineRule="auto"/>
        <w:rPr>
          <w:rFonts w:hint="eastAsia" w:ascii="仿宋" w:hAnsi="仿宋" w:eastAsia="仿宋" w:cs="Arial"/>
          <w:kern w:val="0"/>
          <w:sz w:val="32"/>
          <w:szCs w:val="32"/>
        </w:rPr>
      </w:pPr>
      <w:r>
        <w:rPr>
          <w:rFonts w:eastAsia="仿宋_GB2312"/>
          <w:color w:val="000000"/>
          <w:sz w:val="32"/>
          <w:szCs w:val="28"/>
        </w:rPr>
        <w:t xml:space="preserve"> </w:t>
      </w:r>
      <w:r>
        <w:rPr>
          <w:rFonts w:hint="eastAsia" w:eastAsia="仿宋_GB2312"/>
          <w:color w:val="000000"/>
          <w:sz w:val="32"/>
          <w:szCs w:val="28"/>
        </w:rPr>
        <w:t xml:space="preserve">  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6月下半月</w:t>
      </w:r>
      <w:r>
        <w:rPr>
          <w:rFonts w:hint="eastAsia" w:hAnsi="宋体" w:eastAsia="仿宋_GB2312"/>
          <w:color w:val="000000"/>
          <w:sz w:val="32"/>
          <w:szCs w:val="32"/>
        </w:rPr>
        <w:t>全市</w:t>
      </w:r>
      <w:r>
        <w:rPr>
          <w:rFonts w:hint="eastAsia" w:eastAsia="仿宋_GB2312"/>
          <w:color w:val="000000"/>
          <w:sz w:val="32"/>
          <w:szCs w:val="32"/>
        </w:rPr>
        <w:t>伊蚊密度监测风险评估统计表见表1、表2、表3、表4。</w:t>
      </w:r>
    </w:p>
    <w:p>
      <w:pPr>
        <w:numPr>
          <w:ilvl w:val="0"/>
          <w:numId w:val="1"/>
        </w:numPr>
        <w:spacing w:line="360" w:lineRule="auto"/>
        <w:ind w:firstLine="643" w:firstLineChars="200"/>
        <w:rPr>
          <w:rFonts w:hint="eastAsia" w:hAnsi="宋体" w:eastAsia="仿宋_GB2312"/>
          <w:b/>
          <w:color w:val="000000"/>
          <w:sz w:val="32"/>
          <w:szCs w:val="28"/>
        </w:rPr>
      </w:pPr>
      <w:r>
        <w:rPr>
          <w:rFonts w:hint="eastAsia" w:hAnsi="宋体" w:eastAsia="仿宋_GB2312"/>
          <w:b/>
          <w:color w:val="000000"/>
          <w:sz w:val="32"/>
          <w:szCs w:val="28"/>
        </w:rPr>
        <w:t>分析评估</w:t>
      </w:r>
    </w:p>
    <w:p>
      <w:pPr>
        <w:keepNext/>
        <w:widowControl/>
        <w:spacing w:line="360" w:lineRule="auto"/>
        <w:jc w:val="left"/>
        <w:rPr>
          <w:rFonts w:hint="eastAsia" w:eastAsia="仿宋_GB2312"/>
          <w:color w:val="000000"/>
          <w:sz w:val="32"/>
          <w:szCs w:val="28"/>
        </w:rPr>
      </w:pPr>
      <w:r>
        <w:rPr>
          <w:rFonts w:hint="eastAsia" w:eastAsia="仿宋_GB2312"/>
          <w:color w:val="000000"/>
          <w:sz w:val="32"/>
          <w:szCs w:val="28"/>
        </w:rPr>
        <w:t>　　（</w:t>
      </w:r>
      <w:r>
        <w:rPr>
          <w:rFonts w:hint="eastAsia" w:eastAsia="仿宋_GB2312"/>
          <w:sz w:val="32"/>
          <w:szCs w:val="28"/>
        </w:rPr>
        <w:t>一）全市监测概况</w:t>
      </w:r>
    </w:p>
    <w:p>
      <w:pPr>
        <w:spacing w:line="360" w:lineRule="auto"/>
        <w:ind w:firstLine="640" w:firstLineChars="200"/>
        <w:rPr>
          <w:rFonts w:hint="eastAsia" w:ascii="仿宋" w:hAnsi="仿宋" w:eastAsia="仿宋"/>
          <w:color w:val="000000"/>
          <w:sz w:val="32"/>
          <w:szCs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t>蚊媒监测情况：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  <w:lang w:eastAsia="zh-CN"/>
        </w:rPr>
        <w:t>6月下半月</w:t>
      </w:r>
      <w:r>
        <w:rPr>
          <w:rFonts w:hint="eastAsia" w:ascii="仿宋" w:hAnsi="仿宋" w:eastAsia="仿宋"/>
          <w:color w:val="000000"/>
          <w:sz w:val="32"/>
          <w:szCs w:val="32"/>
        </w:rPr>
        <w:t>全市蚊媒监测数据（布雷图指数BI）显示：全市各乡镇（街道、场）共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</w:rPr>
        <w:t>2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  <w:lang w:val="en-US" w:eastAsia="zh-CN"/>
        </w:rPr>
        <w:t>3</w:t>
      </w:r>
      <w:r>
        <w:rPr>
          <w:rFonts w:hint="eastAsia" w:ascii="仿宋" w:hAnsi="仿宋" w:eastAsia="仿宋"/>
          <w:color w:val="000000"/>
          <w:sz w:val="32"/>
          <w:szCs w:val="32"/>
        </w:rPr>
        <w:t>个BI监测点，其中：BI为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</w:rPr>
        <w:t>中密度传播风险</w:t>
      </w:r>
      <w:r>
        <w:rPr>
          <w:rFonts w:hint="eastAsia" w:ascii="仿宋" w:hAnsi="仿宋" w:eastAsia="仿宋"/>
          <w:color w:val="000000"/>
          <w:sz w:val="32"/>
          <w:szCs w:val="32"/>
        </w:rPr>
        <w:t>的有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  <w:lang w:val="en-US" w:eastAsia="zh-CN"/>
        </w:rPr>
        <w:t>5</w:t>
      </w:r>
      <w:r>
        <w:rPr>
          <w:rFonts w:hint="eastAsia" w:ascii="仿宋" w:hAnsi="仿宋" w:eastAsia="仿宋"/>
          <w:color w:val="000000"/>
          <w:sz w:val="32"/>
          <w:szCs w:val="32"/>
        </w:rPr>
        <w:t>个点，占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  <w:lang w:val="en-US" w:eastAsia="zh-CN"/>
        </w:rPr>
        <w:t>6.41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</w:rPr>
        <w:t>%</w:t>
      </w:r>
      <w:r>
        <w:rPr>
          <w:rFonts w:hint="eastAsia" w:ascii="仿宋" w:hAnsi="仿宋" w:eastAsia="仿宋"/>
          <w:color w:val="000000"/>
          <w:sz w:val="32"/>
          <w:szCs w:val="32"/>
        </w:rPr>
        <w:t>。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</w:rPr>
        <w:t>低密度传播风险</w:t>
      </w:r>
      <w:r>
        <w:rPr>
          <w:rFonts w:hint="eastAsia" w:ascii="仿宋" w:hAnsi="仿宋" w:eastAsia="仿宋"/>
          <w:color w:val="000000"/>
          <w:sz w:val="32"/>
          <w:szCs w:val="32"/>
        </w:rPr>
        <w:t>的有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  <w:lang w:val="en-US" w:eastAsia="zh-CN"/>
        </w:rPr>
        <w:t>6</w:t>
      </w:r>
      <w:r>
        <w:rPr>
          <w:rFonts w:hint="eastAsia" w:ascii="仿宋" w:hAnsi="仿宋" w:eastAsia="仿宋"/>
          <w:color w:val="000000"/>
          <w:sz w:val="32"/>
          <w:szCs w:val="32"/>
        </w:rPr>
        <w:t>个点，占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  <w:lang w:val="en-US" w:eastAsia="zh-CN"/>
        </w:rPr>
        <w:t>36.33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</w:rPr>
        <w:t>%</w:t>
      </w:r>
      <w:r>
        <w:rPr>
          <w:rFonts w:hint="eastAsia" w:ascii="仿宋" w:hAnsi="仿宋" w:eastAsia="仿宋"/>
          <w:color w:val="000000"/>
          <w:sz w:val="32"/>
          <w:szCs w:val="32"/>
        </w:rPr>
        <w:t>。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</w:rPr>
        <w:t>符合防控要求</w:t>
      </w:r>
      <w:r>
        <w:rPr>
          <w:rFonts w:hint="eastAsia" w:ascii="仿宋" w:hAnsi="仿宋" w:eastAsia="仿宋"/>
          <w:color w:val="000000"/>
          <w:sz w:val="32"/>
          <w:szCs w:val="32"/>
        </w:rPr>
        <w:t>的有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  <w:lang w:val="en-US" w:eastAsia="zh-CN"/>
        </w:rPr>
        <w:t>13</w:t>
      </w:r>
      <w:r>
        <w:rPr>
          <w:rFonts w:hint="eastAsia" w:ascii="仿宋" w:hAnsi="仿宋" w:eastAsia="仿宋"/>
          <w:color w:val="000000"/>
          <w:sz w:val="32"/>
          <w:szCs w:val="32"/>
        </w:rPr>
        <w:t>个点，占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  <w:lang w:val="en-US" w:eastAsia="zh-CN"/>
        </w:rPr>
        <w:t>51.26</w:t>
      </w:r>
      <w:r>
        <w:rPr>
          <w:rFonts w:hint="eastAsia" w:ascii="仿宋" w:hAnsi="仿宋" w:eastAsia="仿宋"/>
          <w:color w:val="000000"/>
          <w:sz w:val="32"/>
          <w:szCs w:val="32"/>
          <w:highlight w:val="yellow"/>
        </w:rPr>
        <w:t>%</w:t>
      </w:r>
      <w:r>
        <w:rPr>
          <w:rFonts w:hint="eastAsia" w:ascii="仿宋" w:hAnsi="仿宋" w:eastAsia="仿宋"/>
          <w:color w:val="000000"/>
          <w:sz w:val="32"/>
          <w:szCs w:val="32"/>
        </w:rPr>
        <w:t>。详见表1。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" w:hAnsi="仿宋" w:eastAsia="仿宋"/>
          <w:color w:val="000000"/>
          <w:sz w:val="32"/>
          <w:szCs w:val="28"/>
        </w:rPr>
      </w:pPr>
      <w:r>
        <w:rPr>
          <w:rFonts w:hint="eastAsia" w:ascii="仿宋" w:hAnsi="仿宋" w:eastAsia="仿宋"/>
          <w:color w:val="000000"/>
          <w:sz w:val="32"/>
          <w:szCs w:val="28"/>
        </w:rPr>
        <w:t>各监测点情况</w:t>
      </w:r>
    </w:p>
    <w:p>
      <w:pPr>
        <w:spacing w:line="360" w:lineRule="auto"/>
        <w:ind w:firstLine="640" w:firstLineChars="200"/>
        <w:rPr>
          <w:rFonts w:hint="eastAsia" w:ascii="仿宋" w:hAnsi="仿宋" w:eastAsia="仿宋" w:cs="仿宋"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sz w:val="32"/>
          <w:szCs w:val="32"/>
        </w:rPr>
        <w:t>1、布雷图指数（BI）常规监测：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6月下半月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我市蚊媒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</w:rPr>
        <w:t>中密度传播风险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的有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个点，为：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</w:rPr>
        <w:t>池尾街道山湖村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  <w:lang w:eastAsia="zh-CN"/>
        </w:rPr>
        <w:t>、大坝镇白坑村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。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</w:rPr>
        <w:t>低密度传播风险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的有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  <w:lang w:val="en-US" w:eastAsia="zh-CN"/>
        </w:rPr>
        <w:t>9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</w:rPr>
        <w:t>个点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，分别为：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  <w:lang w:eastAsia="zh-CN"/>
        </w:rPr>
        <w:t>燎原街道泥沟村、梅塘镇大宅村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</w:rPr>
        <w:t>、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  <w:lang w:eastAsia="zh-CN"/>
        </w:rPr>
        <w:t>高埔镇梅星村、南径镇大埔寮村、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</w:rPr>
        <w:t>大南山街道圆山村、广太镇石潭村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  <w:lang w:eastAsia="zh-CN"/>
        </w:rPr>
        <w:t>、流沙南街道东埔村、流沙北街道纺织社区、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  <w:lang w:val="en-US" w:eastAsia="zh-CN"/>
        </w:rPr>
        <w:t>流沙南街道军屯村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。详见表3。</w:t>
      </w:r>
    </w:p>
    <w:p>
      <w:pPr>
        <w:spacing w:line="360" w:lineRule="auto"/>
        <w:ind w:firstLine="640" w:firstLineChars="200"/>
        <w:rPr>
          <w:rFonts w:ascii="仿宋" w:hAnsi="仿宋" w:eastAsia="仿宋" w:cs="仿宋"/>
          <w:color w:val="000000"/>
          <w:sz w:val="32"/>
          <w:szCs w:val="32"/>
        </w:rPr>
      </w:pPr>
      <w:r>
        <w:rPr>
          <w:rFonts w:hint="eastAsia" w:ascii="仿宋" w:hAnsi="仿宋" w:eastAsia="仿宋" w:cs="仿宋"/>
          <w:color w:val="000000"/>
          <w:sz w:val="32"/>
          <w:szCs w:val="32"/>
        </w:rPr>
        <w:t>2、成蚊密度（MOI）常规监测：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  <w:lang w:eastAsia="zh-CN"/>
        </w:rPr>
        <w:t>6月下半月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我市共有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  <w:lang w:val="en-US" w:eastAsia="zh-CN"/>
        </w:rPr>
        <w:t>1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个MOI监测点：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</w:rPr>
        <w:t>流沙南街道军屯村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，诱蚊诱卵指数为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  <w:lang w:val="en-US" w:eastAsia="zh-CN"/>
        </w:rPr>
        <w:t>3.51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，为</w:t>
      </w:r>
      <w:r>
        <w:rPr>
          <w:rFonts w:hint="eastAsia" w:ascii="仿宋" w:hAnsi="仿宋" w:eastAsia="仿宋" w:cs="仿宋"/>
          <w:color w:val="000000"/>
          <w:sz w:val="32"/>
          <w:szCs w:val="32"/>
          <w:highlight w:val="yellow"/>
          <w:lang w:eastAsia="zh-CN"/>
        </w:rPr>
        <w:t>符合防控要求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。详见表4。</w:t>
      </w:r>
    </w:p>
    <w:p>
      <w:pPr>
        <w:spacing w:line="360" w:lineRule="auto"/>
        <w:ind w:firstLine="643" w:firstLineChars="200"/>
        <w:rPr>
          <w:rFonts w:eastAsia="仿宋_GB2312"/>
          <w:b/>
          <w:color w:val="000000"/>
          <w:sz w:val="32"/>
          <w:szCs w:val="28"/>
        </w:rPr>
      </w:pPr>
      <w:r>
        <w:rPr>
          <w:rFonts w:hint="eastAsia" w:hAnsi="宋体" w:eastAsia="仿宋_GB2312"/>
          <w:b/>
          <w:color w:val="000000"/>
          <w:sz w:val="32"/>
          <w:szCs w:val="28"/>
        </w:rPr>
        <w:t>四、工作建议</w:t>
      </w:r>
    </w:p>
    <w:p>
      <w:pPr>
        <w:spacing w:line="360" w:lineRule="auto"/>
        <w:ind w:firstLine="640" w:firstLineChars="200"/>
        <w:rPr>
          <w:rFonts w:hint="eastAsia" w:ascii="仿宋" w:hAnsi="仿宋" w:eastAsia="仿宋" w:cs="仿宋"/>
          <w:color w:val="000000"/>
          <w:sz w:val="32"/>
          <w:szCs w:val="28"/>
        </w:rPr>
      </w:pPr>
      <w:r>
        <w:rPr>
          <w:rFonts w:hint="eastAsia" w:ascii="仿宋" w:hAnsi="仿宋" w:eastAsia="仿宋" w:cs="仿宋"/>
          <w:color w:val="000000"/>
          <w:sz w:val="32"/>
          <w:szCs w:val="32"/>
        </w:rPr>
        <w:t>1、近期气温逐渐回暖，雨水较多，湿度较高，适合蚊虫孳生，</w:t>
      </w:r>
      <w:r>
        <w:rPr>
          <w:rFonts w:hint="eastAsia" w:ascii="仿宋" w:hAnsi="仿宋" w:eastAsia="仿宋" w:cs="仿宋"/>
          <w:kern w:val="0"/>
          <w:sz w:val="32"/>
          <w:szCs w:val="32"/>
        </w:rPr>
        <w:t>各地要严格按照《广东省登革热防控专业技术指南（2015年版）》、《广东省登革热等蚊媒传染病监测方案（2019年版）》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、《广东省疾病预防控制中心关于广东省 2024 年病媒生物监测工作实施要求的通知》（粤疾控函〔2024〕201 号）</w:t>
      </w:r>
      <w:r>
        <w:rPr>
          <w:rFonts w:hint="eastAsia" w:ascii="仿宋" w:hAnsi="仿宋" w:eastAsia="仿宋" w:cs="仿宋"/>
          <w:kern w:val="0"/>
          <w:sz w:val="32"/>
          <w:szCs w:val="32"/>
        </w:rPr>
        <w:t>等部署要求，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及早部署登革热防控工作</w:t>
      </w:r>
      <w:r>
        <w:rPr>
          <w:rFonts w:hint="eastAsia" w:ascii="仿宋" w:hAnsi="仿宋" w:eastAsia="仿宋" w:cs="仿宋"/>
          <w:kern w:val="0"/>
          <w:sz w:val="32"/>
        </w:rPr>
        <w:t>，强化以</w:t>
      </w:r>
      <w:r>
        <w:rPr>
          <w:rFonts w:hint="eastAsia" w:eastAsia="仿宋_GB2312"/>
          <w:color w:val="000000"/>
          <w:sz w:val="32"/>
          <w:szCs w:val="32"/>
        </w:rPr>
        <w:t>清除孳生地为主，以杀灭成蚊为辅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的爱国卫生运动，彻底消除伊蚊幼虫孳生地</w:t>
      </w:r>
      <w:r>
        <w:rPr>
          <w:rFonts w:hint="eastAsia" w:ascii="仿宋" w:hAnsi="仿宋" w:eastAsia="仿宋" w:cs="仿宋"/>
          <w:color w:val="000000"/>
          <w:sz w:val="32"/>
          <w:szCs w:val="28"/>
        </w:rPr>
        <w:t>。</w:t>
      </w:r>
    </w:p>
    <w:p>
      <w:pPr>
        <w:spacing w:line="360" w:lineRule="auto"/>
        <w:ind w:firstLine="640" w:firstLineChars="200"/>
        <w:rPr>
          <w:rFonts w:hint="eastAsia" w:hAnsi="宋体" w:eastAsia="仿宋_GB2312"/>
          <w:color w:val="000000"/>
          <w:sz w:val="32"/>
          <w:szCs w:val="28"/>
        </w:rPr>
      </w:pPr>
      <w:r>
        <w:rPr>
          <w:rFonts w:hint="eastAsia" w:ascii="仿宋" w:hAnsi="仿宋" w:eastAsia="仿宋" w:cs="仿宋"/>
          <w:sz w:val="32"/>
          <w:szCs w:val="28"/>
        </w:rPr>
        <w:t>2</w:t>
      </w:r>
      <w:r>
        <w:rPr>
          <w:rFonts w:hint="eastAsia" w:ascii="仿宋" w:hAnsi="仿宋" w:eastAsia="仿宋" w:cs="仿宋"/>
          <w:color w:val="000000"/>
          <w:sz w:val="32"/>
          <w:szCs w:val="28"/>
        </w:rPr>
        <w:t>、</w:t>
      </w:r>
      <w:r>
        <w:rPr>
          <w:rFonts w:hint="eastAsia" w:eastAsia="仿宋_GB2312"/>
          <w:kern w:val="0"/>
          <w:sz w:val="32"/>
          <w:szCs w:val="32"/>
        </w:rPr>
        <w:t>各</w:t>
      </w:r>
      <w:r>
        <w:rPr>
          <w:rFonts w:hint="eastAsia" w:hAnsi="仿宋" w:eastAsia="仿宋_GB2312" w:cs="Arial"/>
          <w:kern w:val="0"/>
          <w:sz w:val="32"/>
        </w:rPr>
        <w:t>地必须加强蚊媒监测力度，完善监测覆盖面，提高监测质量，做到选点精准，数据准确，督促蚊媒中密度监测点（以监测点为中心周边200-400米范围内）强化以清除孳生地为主，以杀灭成蚊为辅的灭蚊工作。</w:t>
      </w:r>
    </w:p>
    <w:p>
      <w:pPr>
        <w:spacing w:line="360" w:lineRule="auto"/>
        <w:ind w:firstLine="640" w:firstLineChars="200"/>
        <w:rPr>
          <w:rFonts w:hint="eastAsia" w:eastAsia="仿宋_GB2312"/>
          <w:color w:val="00000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3、重点管理好下列几类场所：工地、石料厂、废墟、废旧物资收购站、居民区/平房区、菜园（地）。各地职能部门要加强对各重点场所的防蚊、灭蚊工作。</w:t>
      </w:r>
    </w:p>
    <w:p>
      <w:pPr>
        <w:spacing w:line="360" w:lineRule="auto"/>
        <w:ind w:firstLine="640" w:firstLineChars="200"/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4、重点管理好下列几类容器：居民区/平房区室内外闲置容器、水生盆栽和贮水容器、废旧轮胎。闲置容器需及时清理或倒扣放置避免积水；水生盆栽和贮水容器需定期（每3天1次）换水和清洗内壁；倡导采用防蚊装置的瓶水培植物或砂土盆栽植物；贮水容器需加盖，防止蚊虫产卵；废旧轮胎采用砂土填埋。</w:t>
      </w:r>
    </w:p>
    <w:p>
      <w:pPr>
        <w:spacing w:line="360" w:lineRule="auto"/>
        <w:ind w:firstLine="640" w:firstLineChars="200"/>
        <w:rPr>
          <w:rFonts w:hint="eastAsia" w:eastAsia="仿宋_GB2312"/>
          <w:kern w:val="0"/>
          <w:sz w:val="32"/>
          <w:szCs w:val="28"/>
        </w:rPr>
      </w:pPr>
      <w:r>
        <w:rPr>
          <w:rFonts w:hint="eastAsia" w:eastAsia="仿宋_GB2312"/>
          <w:color w:val="000000"/>
          <w:sz w:val="32"/>
          <w:szCs w:val="32"/>
        </w:rPr>
        <w:t>5、</w:t>
      </w:r>
      <w:r>
        <w:rPr>
          <w:rFonts w:hint="eastAsia" w:eastAsia="仿宋_GB2312"/>
          <w:kern w:val="0"/>
          <w:sz w:val="32"/>
          <w:szCs w:val="28"/>
        </w:rPr>
        <w:t>多角度、多渠道普及</w:t>
      </w:r>
      <w:r>
        <w:rPr>
          <w:rFonts w:hint="eastAsia" w:hAnsi="宋体" w:eastAsia="仿宋_GB2312"/>
          <w:kern w:val="0"/>
          <w:sz w:val="32"/>
          <w:szCs w:val="28"/>
        </w:rPr>
        <w:t>登革热防控知识，增强群众防蚊灭蚊、预防疾病的意识，真正做到人人动手，整治环境，翻盆倒罐，清除积水和消灭蚊虫，形成群防群控的良好氛围。</w:t>
      </w:r>
    </w:p>
    <w:p>
      <w:pPr>
        <w:spacing w:line="360" w:lineRule="auto"/>
        <w:ind w:firstLine="640" w:firstLineChars="200"/>
        <w:rPr>
          <w:rFonts w:hint="eastAsia" w:eastAsia="仿宋_GB2312"/>
          <w:kern w:val="0"/>
          <w:sz w:val="32"/>
          <w:szCs w:val="28"/>
        </w:rPr>
      </w:pPr>
    </w:p>
    <w:p>
      <w:pPr>
        <w:spacing w:line="360" w:lineRule="auto"/>
        <w:ind w:firstLine="640" w:firstLineChars="200"/>
        <w:rPr>
          <w:rFonts w:hint="eastAsia" w:eastAsia="仿宋_GB2312"/>
          <w:kern w:val="0"/>
          <w:sz w:val="32"/>
          <w:szCs w:val="28"/>
        </w:rPr>
      </w:pPr>
    </w:p>
    <w:p>
      <w:pPr>
        <w:spacing w:line="360" w:lineRule="auto"/>
        <w:ind w:firstLine="640" w:firstLineChars="200"/>
        <w:rPr>
          <w:rFonts w:hint="eastAsia" w:eastAsia="仿宋_GB2312"/>
          <w:kern w:val="0"/>
          <w:sz w:val="32"/>
          <w:szCs w:val="28"/>
        </w:rPr>
      </w:pPr>
    </w:p>
    <w:p>
      <w:pPr>
        <w:spacing w:line="360" w:lineRule="auto"/>
        <w:ind w:firstLine="640" w:firstLineChars="200"/>
        <w:rPr>
          <w:rFonts w:hint="eastAsia" w:eastAsia="仿宋_GB2312"/>
          <w:kern w:val="0"/>
          <w:sz w:val="32"/>
          <w:szCs w:val="28"/>
        </w:rPr>
      </w:pPr>
    </w:p>
    <w:p>
      <w:pPr>
        <w:spacing w:line="360" w:lineRule="auto"/>
        <w:ind w:firstLine="640" w:firstLineChars="200"/>
        <w:rPr>
          <w:rFonts w:hint="eastAsia" w:ascii="仿宋" w:hAnsi="仿宋" w:eastAsia="仿宋" w:cs="仿宋"/>
          <w:kern w:val="0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" w:hAnsi="仿宋" w:eastAsia="仿宋" w:cs="仿宋"/>
          <w:kern w:val="0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" w:hAnsi="仿宋" w:eastAsia="仿宋" w:cs="仿宋"/>
          <w:kern w:val="0"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eastAsia="仿宋_GB2312"/>
          <w:kern w:val="0"/>
          <w:sz w:val="32"/>
          <w:szCs w:val="28"/>
        </w:rPr>
      </w:pPr>
    </w:p>
    <w:p>
      <w:pPr>
        <w:spacing w:line="360" w:lineRule="auto"/>
        <w:rPr>
          <w:rFonts w:hint="eastAsia" w:eastAsia="仿宋_GB2312"/>
          <w:kern w:val="0"/>
          <w:sz w:val="32"/>
          <w:szCs w:val="28"/>
        </w:rPr>
      </w:pPr>
    </w:p>
    <w:p>
      <w:pPr>
        <w:spacing w:line="360" w:lineRule="auto"/>
        <w:ind w:firstLine="640" w:firstLineChars="200"/>
        <w:rPr>
          <w:rFonts w:hint="eastAsia" w:eastAsia="仿宋_GB2312"/>
          <w:kern w:val="0"/>
          <w:sz w:val="32"/>
          <w:szCs w:val="28"/>
        </w:rPr>
      </w:pPr>
    </w:p>
    <w:p>
      <w:pPr>
        <w:widowControl/>
        <w:ind w:firstLine="1181" w:firstLineChars="490"/>
        <w:jc w:val="left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widowControl/>
        <w:ind w:firstLine="1181" w:firstLineChars="490"/>
        <w:jc w:val="left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widowControl/>
        <w:ind w:firstLine="1181" w:firstLineChars="490"/>
        <w:jc w:val="left"/>
        <w:rPr>
          <w:rFonts w:hint="eastAsia" w:ascii="仿宋" w:hAnsi="仿宋" w:eastAsia="仿宋" w:cs="Arial"/>
          <w:kern w:val="0"/>
          <w:sz w:val="28"/>
          <w:szCs w:val="28"/>
          <w:highlight w:val="yellow"/>
        </w:rPr>
      </w:pPr>
      <w:r>
        <w:rPr>
          <w:rFonts w:ascii="仿宋" w:hAnsi="仿宋" w:eastAsia="仿宋" w:cs="Arial"/>
          <w:b/>
          <w:kern w:val="0"/>
          <w:sz w:val="24"/>
        </w:rPr>
        <w:br w:type="page"/>
      </w:r>
      <w:r>
        <w:rPr>
          <w:rFonts w:hint="eastAsia" w:ascii="仿宋" w:hAnsi="仿宋" w:eastAsia="仿宋" w:cs="Arial"/>
          <w:b/>
          <w:kern w:val="0"/>
          <w:sz w:val="24"/>
          <w:highlight w:val="yellow"/>
        </w:rPr>
        <w:t xml:space="preserve">表1   </w:t>
      </w:r>
      <w:r>
        <w:rPr>
          <w:rFonts w:hint="eastAsia" w:ascii="仿宋" w:hAnsi="仿宋" w:eastAsia="仿宋"/>
          <w:color w:val="000000"/>
          <w:sz w:val="28"/>
          <w:szCs w:val="28"/>
          <w:highlight w:val="yellow"/>
        </w:rPr>
        <w:t>普宁市2024年</w:t>
      </w:r>
      <w:r>
        <w:rPr>
          <w:rFonts w:hint="eastAsia" w:ascii="仿宋" w:hAnsi="仿宋" w:eastAsia="仿宋"/>
          <w:color w:val="000000"/>
          <w:sz w:val="28"/>
          <w:szCs w:val="28"/>
          <w:highlight w:val="yellow"/>
          <w:lang w:eastAsia="zh-CN"/>
        </w:rPr>
        <w:t>6月下半月</w:t>
      </w:r>
      <w:r>
        <w:rPr>
          <w:rFonts w:hint="eastAsia" w:ascii="仿宋" w:hAnsi="仿宋" w:eastAsia="仿宋" w:cs="Arial"/>
          <w:kern w:val="0"/>
          <w:sz w:val="28"/>
          <w:szCs w:val="28"/>
          <w:highlight w:val="yellow"/>
        </w:rPr>
        <w:t>蚊媒密度状态情况表</w:t>
      </w:r>
    </w:p>
    <w:p>
      <w:pPr>
        <w:widowControl/>
        <w:ind w:firstLine="1372" w:firstLineChars="490"/>
        <w:jc w:val="left"/>
        <w:rPr>
          <w:rFonts w:hint="eastAsia" w:ascii="仿宋" w:hAnsi="仿宋" w:eastAsia="仿宋" w:cs="Arial"/>
          <w:kern w:val="0"/>
          <w:sz w:val="28"/>
          <w:szCs w:val="28"/>
        </w:rPr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1"/>
        <w:gridCol w:w="3015"/>
        <w:gridCol w:w="30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eastAsia="仿宋_GB2312"/>
                <w:kern w:val="0"/>
                <w:sz w:val="32"/>
                <w:szCs w:val="28"/>
              </w:rPr>
              <w:tab/>
            </w:r>
            <w:r>
              <w:rPr>
                <w:rFonts w:hint="eastAsia" w:ascii="仿宋" w:hAnsi="仿宋" w:eastAsia="仿宋" w:cs="宋体"/>
                <w:b/>
                <w:color w:val="000000"/>
                <w:kern w:val="0"/>
                <w:szCs w:val="21"/>
              </w:rPr>
              <w:t>蚊媒密度状态</w:t>
            </w:r>
          </w:p>
        </w:tc>
        <w:tc>
          <w:tcPr>
            <w:tcW w:w="30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Cs w:val="21"/>
              </w:rPr>
              <w:t>风险点数</w:t>
            </w:r>
          </w:p>
        </w:tc>
        <w:tc>
          <w:tcPr>
            <w:tcW w:w="3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Cs w:val="21"/>
              </w:rPr>
              <w:t>百分比（%）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高密度传播风险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中密度传播风险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3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lang w:val="en-US" w:eastAsia="zh-CN"/>
              </w:rPr>
              <w:t>7.41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低密度传播风险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3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lang w:val="en-US" w:eastAsia="zh-CN"/>
              </w:rPr>
              <w:t>33.33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6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符合防控要求</w:t>
            </w:r>
          </w:p>
        </w:tc>
        <w:tc>
          <w:tcPr>
            <w:tcW w:w="30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sz w:val="22"/>
                <w:szCs w:val="22"/>
                <w:lang w:val="en-US" w:eastAsia="zh-CN"/>
              </w:rPr>
              <w:t>16</w:t>
            </w:r>
          </w:p>
        </w:tc>
        <w:tc>
          <w:tcPr>
            <w:tcW w:w="3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sz w:val="22"/>
                <w:szCs w:val="22"/>
                <w:lang w:val="en-US" w:eastAsia="zh-CN"/>
              </w:rPr>
              <w:t>59.26</w:t>
            </w:r>
          </w:p>
        </w:tc>
      </w:tr>
    </w:tbl>
    <w:p>
      <w:pPr>
        <w:spacing w:line="360" w:lineRule="auto"/>
        <w:rPr>
          <w:rFonts w:hint="eastAsia" w:eastAsia="仿宋_GB2312"/>
          <w:kern w:val="0"/>
          <w:sz w:val="32"/>
          <w:szCs w:val="28"/>
        </w:rPr>
      </w:pPr>
    </w:p>
    <w:p>
      <w:pPr>
        <w:widowControl/>
        <w:ind w:firstLine="1372" w:firstLineChars="490"/>
        <w:jc w:val="left"/>
        <w:rPr>
          <w:rFonts w:hint="eastAsia" w:ascii="仿宋" w:hAnsi="仿宋" w:eastAsia="仿宋" w:cs="Arial"/>
          <w:kern w:val="0"/>
          <w:sz w:val="28"/>
          <w:szCs w:val="28"/>
        </w:rPr>
      </w:pPr>
    </w:p>
    <w:p>
      <w:pPr>
        <w:widowControl/>
        <w:ind w:firstLine="1372" w:firstLineChars="490"/>
        <w:jc w:val="left"/>
        <w:rPr>
          <w:rFonts w:hint="eastAsia" w:ascii="仿宋" w:hAnsi="仿宋" w:eastAsia="仿宋" w:cs="Arial"/>
          <w:kern w:val="0"/>
          <w:sz w:val="28"/>
          <w:szCs w:val="28"/>
        </w:rPr>
      </w:pPr>
    </w:p>
    <w:p>
      <w:pPr>
        <w:widowControl/>
        <w:ind w:firstLine="1372" w:firstLineChars="490"/>
        <w:jc w:val="left"/>
        <w:rPr>
          <w:rFonts w:hint="eastAsia" w:ascii="仿宋" w:hAnsi="仿宋" w:eastAsia="仿宋" w:cs="Arial"/>
          <w:kern w:val="0"/>
          <w:sz w:val="28"/>
          <w:szCs w:val="28"/>
        </w:rPr>
      </w:pPr>
    </w:p>
    <w:p>
      <w:pPr>
        <w:widowControl/>
        <w:ind w:firstLine="1372" w:firstLineChars="490"/>
        <w:jc w:val="left"/>
        <w:rPr>
          <w:rFonts w:hint="eastAsia" w:ascii="仿宋" w:hAnsi="仿宋" w:eastAsia="仿宋" w:cs="Arial"/>
          <w:kern w:val="0"/>
          <w:sz w:val="28"/>
          <w:szCs w:val="28"/>
        </w:rPr>
      </w:pPr>
    </w:p>
    <w:p>
      <w:pPr>
        <w:widowControl/>
        <w:ind w:firstLine="1181" w:firstLineChars="490"/>
        <w:jc w:val="left"/>
        <w:rPr>
          <w:rFonts w:hint="eastAsia" w:ascii="仿宋" w:hAnsi="仿宋" w:eastAsia="仿宋" w:cs="Arial"/>
          <w:kern w:val="0"/>
          <w:sz w:val="28"/>
          <w:szCs w:val="28"/>
          <w:highlight w:val="yellow"/>
        </w:rPr>
      </w:pPr>
      <w:r>
        <w:rPr>
          <w:rFonts w:hint="eastAsia" w:ascii="仿宋" w:hAnsi="仿宋" w:eastAsia="仿宋" w:cs="Arial"/>
          <w:b/>
          <w:kern w:val="0"/>
          <w:sz w:val="24"/>
          <w:highlight w:val="yellow"/>
        </w:rPr>
        <w:t xml:space="preserve">表2   </w:t>
      </w:r>
      <w:r>
        <w:rPr>
          <w:rFonts w:hint="eastAsia" w:ascii="仿宋" w:hAnsi="仿宋" w:eastAsia="仿宋"/>
          <w:color w:val="000000"/>
          <w:sz w:val="28"/>
          <w:szCs w:val="28"/>
          <w:highlight w:val="yellow"/>
        </w:rPr>
        <w:t>普宁市2024年</w:t>
      </w:r>
      <w:r>
        <w:rPr>
          <w:rFonts w:hint="eastAsia" w:ascii="仿宋" w:hAnsi="仿宋" w:eastAsia="仿宋"/>
          <w:color w:val="000000"/>
          <w:sz w:val="28"/>
          <w:szCs w:val="28"/>
          <w:highlight w:val="yellow"/>
          <w:lang w:eastAsia="zh-CN"/>
        </w:rPr>
        <w:t>6月下半月</w:t>
      </w:r>
      <w:r>
        <w:rPr>
          <w:rFonts w:ascii="仿宋" w:hAnsi="仿宋" w:eastAsia="仿宋" w:cs="Arial"/>
          <w:kern w:val="0"/>
          <w:sz w:val="28"/>
          <w:szCs w:val="28"/>
          <w:highlight w:val="yellow"/>
        </w:rPr>
        <w:t>布雷图指数</w:t>
      </w:r>
      <w:r>
        <w:rPr>
          <w:rFonts w:hint="eastAsia" w:ascii="仿宋" w:hAnsi="仿宋" w:eastAsia="仿宋" w:cs="Arial"/>
          <w:kern w:val="0"/>
          <w:sz w:val="28"/>
          <w:szCs w:val="28"/>
          <w:highlight w:val="yellow"/>
        </w:rPr>
        <w:t>监测情况汇总表</w:t>
      </w:r>
    </w:p>
    <w:p>
      <w:pPr>
        <w:spacing w:line="360" w:lineRule="auto"/>
        <w:ind w:firstLine="640" w:firstLineChars="200"/>
        <w:rPr>
          <w:rFonts w:hint="eastAsia" w:eastAsia="仿宋_GB2312"/>
          <w:kern w:val="0"/>
          <w:sz w:val="32"/>
          <w:szCs w:val="28"/>
        </w:rPr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471"/>
        <w:gridCol w:w="1471"/>
        <w:gridCol w:w="1277"/>
        <w:gridCol w:w="1664"/>
        <w:gridCol w:w="1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地区</w:t>
            </w:r>
          </w:p>
        </w:tc>
        <w:tc>
          <w:tcPr>
            <w:tcW w:w="14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调查户数</w:t>
            </w:r>
          </w:p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（户）</w:t>
            </w:r>
          </w:p>
        </w:tc>
        <w:tc>
          <w:tcPr>
            <w:tcW w:w="14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阳性户数</w:t>
            </w:r>
          </w:p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（户）</w:t>
            </w:r>
          </w:p>
        </w:tc>
        <w:tc>
          <w:tcPr>
            <w:tcW w:w="12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阳性积水数</w:t>
            </w:r>
          </w:p>
        </w:tc>
        <w:tc>
          <w:tcPr>
            <w:tcW w:w="16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Bi</w:t>
            </w:r>
          </w:p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（布雷图指数）</w:t>
            </w:r>
          </w:p>
        </w:tc>
        <w:tc>
          <w:tcPr>
            <w:tcW w:w="16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蚊媒密度状态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  <w:tc>
          <w:tcPr>
            <w:tcW w:w="14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  <w:tc>
          <w:tcPr>
            <w:tcW w:w="14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  <w:tc>
          <w:tcPr>
            <w:tcW w:w="16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147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b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Arial"/>
                <w:b/>
                <w:bCs/>
                <w:kern w:val="0"/>
                <w:szCs w:val="21"/>
              </w:rPr>
              <w:t>普宁市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sz w:val="20"/>
                <w:szCs w:val="20"/>
                <w:lang w:val="en-US" w:eastAsia="zh-CN"/>
              </w:rPr>
              <w:t>1740</w:t>
            </w:r>
          </w:p>
        </w:tc>
        <w:tc>
          <w:tcPr>
            <w:tcW w:w="14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sz w:val="20"/>
                <w:szCs w:val="20"/>
                <w:lang w:val="en-US" w:eastAsia="zh-CN"/>
              </w:rPr>
              <w:t>97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sz w:val="20"/>
                <w:szCs w:val="20"/>
                <w:lang w:val="en-US" w:eastAsia="zh-CN"/>
              </w:rPr>
              <w:t>97</w:t>
            </w:r>
          </w:p>
        </w:tc>
        <w:tc>
          <w:tcPr>
            <w:tcW w:w="166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sz w:val="20"/>
                <w:szCs w:val="20"/>
                <w:lang w:val="en-US" w:eastAsia="zh-CN"/>
              </w:rPr>
              <w:t>5.57</w:t>
            </w:r>
          </w:p>
        </w:tc>
        <w:tc>
          <w:tcPr>
            <w:tcW w:w="164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sz w:val="20"/>
                <w:szCs w:val="20"/>
              </w:rPr>
              <w:t>低密度传播风险</w:t>
            </w:r>
          </w:p>
        </w:tc>
      </w:tr>
    </w:tbl>
    <w:p>
      <w:pPr>
        <w:widowControl/>
        <w:ind w:firstLine="472" w:firstLineChars="196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60" w:lineRule="auto"/>
        <w:ind w:firstLine="640" w:firstLineChars="200"/>
        <w:rPr>
          <w:rFonts w:hint="eastAsia" w:eastAsia="仿宋_GB2312"/>
          <w:kern w:val="0"/>
          <w:sz w:val="32"/>
          <w:szCs w:val="28"/>
        </w:rPr>
      </w:pPr>
    </w:p>
    <w:p>
      <w:pPr>
        <w:spacing w:line="360" w:lineRule="auto"/>
        <w:ind w:firstLine="640" w:firstLineChars="200"/>
        <w:rPr>
          <w:rFonts w:hint="eastAsia" w:eastAsia="仿宋_GB2312"/>
          <w:kern w:val="0"/>
          <w:sz w:val="32"/>
          <w:szCs w:val="28"/>
        </w:rPr>
      </w:pPr>
    </w:p>
    <w:p>
      <w:pPr>
        <w:spacing w:line="360" w:lineRule="auto"/>
        <w:ind w:firstLine="640" w:firstLineChars="200"/>
        <w:rPr>
          <w:rFonts w:hint="eastAsia" w:eastAsia="仿宋_GB2312"/>
          <w:kern w:val="0"/>
          <w:sz w:val="32"/>
          <w:szCs w:val="28"/>
        </w:rPr>
      </w:pPr>
    </w:p>
    <w:p>
      <w:pPr>
        <w:widowControl/>
        <w:ind w:firstLine="472" w:firstLineChars="196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ind w:firstLine="241" w:firstLineChars="100"/>
        <w:rPr>
          <w:rFonts w:hint="eastAsia" w:ascii="仿宋" w:hAnsi="仿宋" w:eastAsia="仿宋" w:cs="Arial"/>
          <w:kern w:val="0"/>
          <w:sz w:val="28"/>
          <w:szCs w:val="28"/>
        </w:rPr>
      </w:pPr>
      <w:r>
        <w:rPr>
          <w:rFonts w:hint="eastAsia" w:ascii="仿宋" w:hAnsi="仿宋" w:eastAsia="仿宋" w:cs="Arial"/>
          <w:b/>
          <w:kern w:val="0"/>
          <w:sz w:val="24"/>
        </w:rPr>
        <w:t xml:space="preserve">  </w:t>
      </w:r>
      <w:r>
        <w:rPr>
          <w:rFonts w:hint="eastAsia" w:ascii="仿宋" w:hAnsi="仿宋" w:eastAsia="仿宋" w:cs="Arial"/>
          <w:b/>
          <w:kern w:val="0"/>
          <w:sz w:val="24"/>
          <w:highlight w:val="yellow"/>
        </w:rPr>
        <w:t xml:space="preserve">表3           </w:t>
      </w:r>
      <w:r>
        <w:rPr>
          <w:rFonts w:hint="eastAsia" w:ascii="仿宋" w:hAnsi="仿宋" w:eastAsia="仿宋"/>
          <w:color w:val="000000"/>
          <w:sz w:val="28"/>
          <w:szCs w:val="28"/>
          <w:highlight w:val="yellow"/>
        </w:rPr>
        <w:t>普宁市疾控中心</w:t>
      </w:r>
      <w:r>
        <w:rPr>
          <w:rFonts w:hint="eastAsia" w:ascii="仿宋" w:hAnsi="仿宋" w:eastAsia="仿宋"/>
          <w:color w:val="000000"/>
          <w:sz w:val="28"/>
          <w:szCs w:val="28"/>
          <w:highlight w:val="yellow"/>
          <w:lang w:eastAsia="zh-CN"/>
        </w:rPr>
        <w:t>6月下半月</w:t>
      </w:r>
      <w:r>
        <w:rPr>
          <w:rFonts w:hint="eastAsia" w:ascii="仿宋" w:hAnsi="仿宋" w:eastAsia="仿宋" w:cs="Arial"/>
          <w:kern w:val="0"/>
          <w:sz w:val="28"/>
          <w:szCs w:val="28"/>
          <w:highlight w:val="yellow"/>
        </w:rPr>
        <w:t>BI监测点监测情况一览表</w:t>
      </w:r>
    </w:p>
    <w:p>
      <w:pPr>
        <w:spacing w:line="312" w:lineRule="auto"/>
        <w:ind w:firstLine="241" w:firstLineChars="100"/>
        <w:rPr>
          <w:rFonts w:hint="eastAsia" w:ascii="仿宋" w:hAnsi="仿宋" w:eastAsia="仿宋" w:cs="Arial"/>
          <w:b/>
          <w:kern w:val="0"/>
          <w:sz w:val="24"/>
        </w:rPr>
      </w:pPr>
    </w:p>
    <w:tbl>
      <w:tblPr>
        <w:tblStyle w:val="3"/>
        <w:tblW w:w="10235" w:type="dxa"/>
        <w:tblInd w:w="-1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1095"/>
        <w:gridCol w:w="1035"/>
        <w:gridCol w:w="960"/>
        <w:gridCol w:w="1140"/>
        <w:gridCol w:w="3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8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地区</w:t>
            </w:r>
          </w:p>
        </w:tc>
        <w:tc>
          <w:tcPr>
            <w:tcW w:w="10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调查户数（户）</w:t>
            </w:r>
          </w:p>
        </w:tc>
        <w:tc>
          <w:tcPr>
            <w:tcW w:w="10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阳性户数（户）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阳性积水数</w:t>
            </w:r>
          </w:p>
        </w:tc>
        <w:tc>
          <w:tcPr>
            <w:tcW w:w="11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Bi（布雷图指数）</w:t>
            </w:r>
          </w:p>
        </w:tc>
        <w:tc>
          <w:tcPr>
            <w:tcW w:w="36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蚊媒密度指数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8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2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流沙南街道军屯村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8.33</w:t>
            </w:r>
          </w:p>
        </w:tc>
        <w:tc>
          <w:tcPr>
            <w:tcW w:w="3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低度传播风险</w:t>
            </w:r>
          </w:p>
        </w:tc>
      </w:tr>
    </w:tbl>
    <w:p>
      <w:pPr>
        <w:spacing w:line="312" w:lineRule="auto"/>
        <w:ind w:firstLine="241" w:firstLineChars="100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ind w:firstLine="241" w:firstLineChars="100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ind w:firstLine="280" w:firstLineChars="100"/>
        <w:jc w:val="center"/>
        <w:rPr>
          <w:rFonts w:hint="eastAsia" w:ascii="仿宋" w:hAnsi="仿宋" w:eastAsia="仿宋" w:cs="Arial"/>
          <w:kern w:val="0"/>
          <w:sz w:val="28"/>
          <w:szCs w:val="28"/>
          <w:highlight w:val="yellow"/>
        </w:rPr>
      </w:pPr>
      <w:r>
        <w:rPr>
          <w:rFonts w:hint="eastAsia" w:ascii="仿宋" w:hAnsi="仿宋" w:eastAsia="仿宋" w:cs="Arial"/>
          <w:kern w:val="0"/>
          <w:sz w:val="28"/>
          <w:szCs w:val="28"/>
          <w:highlight w:val="yellow"/>
        </w:rPr>
        <w:t>普宁市</w:t>
      </w:r>
      <w:r>
        <w:rPr>
          <w:rFonts w:hint="eastAsia" w:eastAsia="仿宋"/>
          <w:color w:val="000000"/>
          <w:sz w:val="28"/>
          <w:szCs w:val="28"/>
          <w:highlight w:val="yellow"/>
        </w:rPr>
        <w:t>各乡（镇、街道、场）</w:t>
      </w:r>
      <w:r>
        <w:rPr>
          <w:rFonts w:hint="eastAsia" w:ascii="仿宋" w:hAnsi="仿宋" w:eastAsia="仿宋"/>
          <w:color w:val="000000"/>
          <w:sz w:val="28"/>
          <w:szCs w:val="28"/>
          <w:highlight w:val="yellow"/>
          <w:lang w:eastAsia="zh-CN"/>
        </w:rPr>
        <w:t>6月下半月</w:t>
      </w:r>
      <w:r>
        <w:rPr>
          <w:rFonts w:hint="eastAsia" w:ascii="仿宋" w:hAnsi="仿宋" w:eastAsia="仿宋" w:cs="Arial"/>
          <w:kern w:val="0"/>
          <w:sz w:val="28"/>
          <w:szCs w:val="28"/>
          <w:highlight w:val="yellow"/>
        </w:rPr>
        <w:t>常规监测情况表</w:t>
      </w:r>
    </w:p>
    <w:tbl>
      <w:tblPr>
        <w:tblStyle w:val="3"/>
        <w:tblW w:w="102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1713"/>
        <w:gridCol w:w="1525"/>
        <w:gridCol w:w="1250"/>
        <w:gridCol w:w="1687"/>
        <w:gridCol w:w="1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地区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调查户数（户）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阳性户数（户）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阳性积水数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Bi（布雷图指数）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蚊媒密度指数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大坝镇白坑村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13.33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中度传播风险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池尾街道山湖村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11.67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中度传播风险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燎原街道泥沟村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低度传播风险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梅塘镇大宅村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8.33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低度传播风险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高埔镇梅星村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8.33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低度传播风险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南径镇大埔寮村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62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8.06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低度传播风险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大南山街道圆山村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6.67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低度传播风险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广太镇石潭村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6.67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低度传播风险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流沙南街道东埔村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6.67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低度传播风险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流沙北街道纺织社区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6.67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低度传播风险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占陇镇下寨村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云落镇大池村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流沙西街道赤水村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后溪乡宫角村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69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4.35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洪阳镇马南山村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71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4.23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南溪镇东二村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73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4.11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梅林镇梅光村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75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流沙东街道秀陇村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下架山镇安溪村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3.33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赤岗镇双枝山村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3.33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里湖镇竹林村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3.33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船埔镇坑圆村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3.33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普侨镇北輋村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3.33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麒麟镇陈洞村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70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2.86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军埠镇陇头东桂村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2.5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大坪镇新福村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60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1.67</w:t>
            </w:r>
          </w:p>
        </w:tc>
        <w:tc>
          <w:tcPr>
            <w:tcW w:w="1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符合防控要求</w:t>
            </w:r>
          </w:p>
        </w:tc>
      </w:tr>
    </w:tbl>
    <w:p>
      <w:pPr>
        <w:spacing w:line="312" w:lineRule="auto"/>
        <w:ind w:firstLine="280" w:firstLineChars="100"/>
        <w:rPr>
          <w:rFonts w:hint="eastAsia" w:ascii="仿宋" w:hAnsi="仿宋" w:eastAsia="仿宋"/>
          <w:color w:val="000000"/>
          <w:sz w:val="28"/>
          <w:szCs w:val="28"/>
        </w:rPr>
      </w:pPr>
    </w:p>
    <w:p>
      <w:pPr>
        <w:spacing w:line="312" w:lineRule="auto"/>
        <w:ind w:firstLine="280" w:firstLineChars="100"/>
        <w:rPr>
          <w:rFonts w:hint="eastAsia" w:ascii="仿宋" w:hAnsi="仿宋" w:eastAsia="仿宋"/>
          <w:color w:val="000000"/>
          <w:sz w:val="28"/>
          <w:szCs w:val="28"/>
        </w:rPr>
      </w:pPr>
    </w:p>
    <w:p>
      <w:pPr>
        <w:widowControl/>
        <w:ind w:firstLine="477" w:firstLineChars="198"/>
        <w:rPr>
          <w:rFonts w:hint="eastAsia" w:ascii="仿宋" w:hAnsi="仿宋" w:eastAsia="仿宋" w:cs="Arial"/>
          <w:kern w:val="0"/>
          <w:sz w:val="28"/>
          <w:szCs w:val="28"/>
        </w:rPr>
      </w:pPr>
      <w:r>
        <w:rPr>
          <w:rFonts w:hint="eastAsia" w:ascii="仿宋" w:hAnsi="仿宋" w:eastAsia="仿宋" w:cs="Arial"/>
          <w:b/>
          <w:kern w:val="0"/>
          <w:sz w:val="24"/>
        </w:rPr>
        <w:t xml:space="preserve"> </w:t>
      </w:r>
      <w:r>
        <w:rPr>
          <w:rFonts w:hint="eastAsia" w:ascii="仿宋" w:hAnsi="仿宋" w:eastAsia="仿宋" w:cs="Arial"/>
          <w:b/>
          <w:kern w:val="0"/>
          <w:sz w:val="24"/>
          <w:highlight w:val="yellow"/>
        </w:rPr>
        <w:t xml:space="preserve">表4          </w:t>
      </w:r>
      <w:r>
        <w:rPr>
          <w:rFonts w:hint="eastAsia" w:ascii="仿宋" w:hAnsi="仿宋" w:eastAsia="仿宋"/>
          <w:color w:val="000000"/>
          <w:sz w:val="28"/>
          <w:szCs w:val="28"/>
          <w:highlight w:val="yellow"/>
        </w:rPr>
        <w:t>普宁市疾控中心2024年</w:t>
      </w:r>
      <w:r>
        <w:rPr>
          <w:rFonts w:hint="eastAsia" w:ascii="仿宋" w:hAnsi="仿宋" w:eastAsia="仿宋"/>
          <w:color w:val="000000"/>
          <w:sz w:val="28"/>
          <w:szCs w:val="28"/>
          <w:highlight w:val="yellow"/>
          <w:lang w:eastAsia="zh-CN"/>
        </w:rPr>
        <w:t>6月下半月</w:t>
      </w:r>
      <w:r>
        <w:rPr>
          <w:rFonts w:hint="eastAsia" w:ascii="仿宋" w:hAnsi="仿宋" w:eastAsia="仿宋"/>
          <w:sz w:val="28"/>
          <w:szCs w:val="28"/>
          <w:highlight w:val="yellow"/>
        </w:rPr>
        <w:t>MOI监测情况统计表</w:t>
      </w:r>
    </w:p>
    <w:p>
      <w:pPr>
        <w:spacing w:line="312" w:lineRule="auto"/>
        <w:ind w:firstLine="280" w:firstLineChars="100"/>
        <w:rPr>
          <w:rFonts w:hint="eastAsia" w:ascii="仿宋" w:hAnsi="仿宋" w:eastAsia="仿宋"/>
          <w:color w:val="000000"/>
          <w:sz w:val="28"/>
          <w:szCs w:val="28"/>
        </w:rPr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471"/>
        <w:gridCol w:w="1471"/>
        <w:gridCol w:w="1277"/>
        <w:gridCol w:w="1664"/>
        <w:gridCol w:w="1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4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地区</w:t>
            </w:r>
          </w:p>
        </w:tc>
        <w:tc>
          <w:tcPr>
            <w:tcW w:w="14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 w:cs="Arial"/>
                <w:b/>
                <w:kern w:val="0"/>
                <w:sz w:val="20"/>
                <w:szCs w:val="20"/>
              </w:rPr>
              <w:t>布放总数</w:t>
            </w:r>
          </w:p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（</w:t>
            </w:r>
            <w:r>
              <w:rPr>
                <w:rFonts w:hint="eastAsia" w:ascii="仿宋" w:hAnsi="仿宋" w:eastAsia="仿宋" w:cs="Arial"/>
                <w:b/>
                <w:kern w:val="0"/>
                <w:sz w:val="20"/>
                <w:szCs w:val="20"/>
              </w:rPr>
              <w:t>个</w:t>
            </w: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）</w:t>
            </w:r>
          </w:p>
        </w:tc>
        <w:tc>
          <w:tcPr>
            <w:tcW w:w="14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 w:cs="Arial"/>
                <w:b/>
                <w:kern w:val="0"/>
                <w:sz w:val="20"/>
                <w:szCs w:val="20"/>
              </w:rPr>
              <w:t>回收数量</w:t>
            </w:r>
          </w:p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（</w:t>
            </w:r>
            <w:r>
              <w:rPr>
                <w:rFonts w:hint="eastAsia" w:ascii="仿宋" w:hAnsi="仿宋" w:eastAsia="仿宋" w:cs="Arial"/>
                <w:b/>
                <w:kern w:val="0"/>
                <w:sz w:val="20"/>
                <w:szCs w:val="20"/>
              </w:rPr>
              <w:t>个</w:t>
            </w: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）</w:t>
            </w:r>
          </w:p>
        </w:tc>
        <w:tc>
          <w:tcPr>
            <w:tcW w:w="12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 w:cs="Arial"/>
                <w:b/>
                <w:kern w:val="0"/>
                <w:sz w:val="20"/>
                <w:szCs w:val="20"/>
              </w:rPr>
              <w:t>卵或蚊阳性数（个）</w:t>
            </w:r>
          </w:p>
        </w:tc>
        <w:tc>
          <w:tcPr>
            <w:tcW w:w="16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 w:cs="Arial"/>
                <w:b/>
                <w:kern w:val="0"/>
                <w:sz w:val="20"/>
                <w:szCs w:val="20"/>
              </w:rPr>
              <w:t>诱蚊诱卵指数</w:t>
            </w:r>
          </w:p>
        </w:tc>
        <w:tc>
          <w:tcPr>
            <w:tcW w:w="16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</w:pPr>
            <w:r>
              <w:rPr>
                <w:rFonts w:ascii="仿宋" w:hAnsi="仿宋" w:eastAsia="仿宋" w:cs="Arial"/>
                <w:b/>
                <w:kern w:val="0"/>
                <w:sz w:val="20"/>
                <w:szCs w:val="20"/>
              </w:rPr>
              <w:t>蚊媒密度状态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4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  <w:tc>
          <w:tcPr>
            <w:tcW w:w="14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  <w:tc>
          <w:tcPr>
            <w:tcW w:w="14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  <w:tc>
          <w:tcPr>
            <w:tcW w:w="12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  <w:tc>
          <w:tcPr>
            <w:tcW w:w="16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  <w:tc>
          <w:tcPr>
            <w:tcW w:w="16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仿宋" w:hAnsi="仿宋" w:eastAsia="仿宋" w:cs="Arial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1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sz w:val="20"/>
                <w:szCs w:val="20"/>
              </w:rPr>
              <w:t>流沙南街道军屯村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sz w:val="20"/>
                <w:szCs w:val="20"/>
              </w:rPr>
              <w:t>5</w:t>
            </w:r>
            <w:r>
              <w:rPr>
                <w:rFonts w:hint="eastAsia" w:ascii="仿宋" w:hAnsi="仿宋" w:eastAsia="仿宋"/>
                <w:b/>
                <w:bCs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sz w:val="20"/>
                <w:szCs w:val="20"/>
                <w:lang w:val="en-US" w:eastAsia="zh-CN"/>
              </w:rPr>
              <w:t>3.51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b/>
                <w:bCs/>
                <w:color w:val="000000"/>
                <w:sz w:val="20"/>
                <w:szCs w:val="20"/>
                <w:lang w:eastAsia="zh-CN"/>
              </w:rPr>
              <w:t>符合防控要求</w:t>
            </w:r>
          </w:p>
        </w:tc>
      </w:tr>
    </w:tbl>
    <w:p>
      <w:pPr>
        <w:spacing w:line="312" w:lineRule="auto"/>
        <w:ind w:firstLine="280" w:firstLineChars="100"/>
        <w:rPr>
          <w:rFonts w:hint="eastAsia" w:ascii="仿宋" w:hAnsi="仿宋" w:eastAsia="仿宋"/>
          <w:color w:val="000000"/>
          <w:sz w:val="28"/>
          <w:szCs w:val="28"/>
        </w:rPr>
      </w:pPr>
    </w:p>
    <w:p>
      <w:pPr>
        <w:spacing w:line="312" w:lineRule="auto"/>
        <w:ind w:firstLine="280" w:firstLineChars="100"/>
        <w:rPr>
          <w:rFonts w:hint="eastAsia" w:ascii="仿宋" w:hAnsi="仿宋" w:eastAsia="仿宋"/>
          <w:color w:val="000000"/>
          <w:sz w:val="28"/>
          <w:szCs w:val="28"/>
        </w:rPr>
      </w:pPr>
    </w:p>
    <w:p>
      <w:pPr>
        <w:spacing w:line="312" w:lineRule="auto"/>
        <w:ind w:firstLine="280" w:firstLineChars="100"/>
        <w:rPr>
          <w:rFonts w:hint="eastAsia" w:ascii="仿宋" w:hAnsi="仿宋" w:eastAsia="仿宋"/>
          <w:color w:val="000000"/>
          <w:sz w:val="28"/>
          <w:szCs w:val="28"/>
        </w:rPr>
      </w:pPr>
    </w:p>
    <w:p>
      <w:pPr>
        <w:spacing w:line="312" w:lineRule="auto"/>
        <w:ind w:firstLine="280" w:firstLineChars="100"/>
        <w:rPr>
          <w:rFonts w:hint="eastAsia" w:ascii="仿宋" w:hAnsi="仿宋" w:eastAsia="仿宋"/>
          <w:color w:val="000000"/>
          <w:sz w:val="28"/>
          <w:szCs w:val="28"/>
        </w:rPr>
      </w:pPr>
    </w:p>
    <w:p>
      <w:pPr>
        <w:spacing w:line="312" w:lineRule="auto"/>
        <w:ind w:firstLine="280" w:firstLineChars="100"/>
        <w:rPr>
          <w:rFonts w:hint="eastAsia" w:ascii="仿宋" w:hAnsi="仿宋" w:eastAsia="仿宋"/>
          <w:color w:val="000000"/>
          <w:sz w:val="28"/>
          <w:szCs w:val="28"/>
        </w:rPr>
      </w:pPr>
    </w:p>
    <w:p>
      <w:pPr>
        <w:spacing w:line="312" w:lineRule="auto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rPr>
          <w:rFonts w:hint="eastAsia" w:ascii="仿宋" w:hAnsi="仿宋" w:eastAsia="仿宋" w:cs="Arial"/>
          <w:b/>
          <w:kern w:val="0"/>
          <w:sz w:val="24"/>
        </w:rPr>
      </w:pPr>
    </w:p>
    <w:p>
      <w:pPr>
        <w:spacing w:line="312" w:lineRule="auto"/>
        <w:rPr>
          <w:rFonts w:hint="eastAsia" w:eastAsia="仿宋"/>
          <w:color w:val="000000"/>
          <w:sz w:val="30"/>
        </w:rPr>
      </w:pPr>
    </w:p>
    <w:p>
      <w:pPr>
        <w:spacing w:line="312" w:lineRule="auto"/>
        <w:rPr>
          <w:rFonts w:hint="eastAsia" w:eastAsia="仿宋"/>
          <w:color w:val="000000"/>
          <w:sz w:val="30"/>
        </w:rPr>
      </w:pPr>
    </w:p>
    <w:p>
      <w:pPr>
        <w:spacing w:line="312" w:lineRule="auto"/>
        <w:rPr>
          <w:rFonts w:hint="eastAsia" w:eastAsia="仿宋"/>
          <w:color w:val="000000"/>
          <w:sz w:val="30"/>
        </w:rPr>
      </w:pPr>
    </w:p>
    <w:p>
      <w:pPr>
        <w:spacing w:line="312" w:lineRule="auto"/>
        <w:rPr>
          <w:rFonts w:hint="eastAsia" w:eastAsia="仿宋"/>
          <w:color w:val="000000"/>
          <w:sz w:val="30"/>
        </w:rPr>
      </w:pPr>
    </w:p>
    <w:p>
      <w:pPr>
        <w:spacing w:line="312" w:lineRule="auto"/>
        <w:rPr>
          <w:rFonts w:hint="eastAsia" w:eastAsia="仿宋"/>
          <w:color w:val="000000"/>
          <w:sz w:val="30"/>
        </w:rPr>
      </w:pPr>
    </w:p>
    <w:p/>
    <w:sectPr>
      <w:footerReference r:id="rId3" w:type="default"/>
      <w:footerReference r:id="rId4" w:type="even"/>
      <w:pgSz w:w="11906" w:h="16838"/>
      <w:pgMar w:top="1418" w:right="1134" w:bottom="1418" w:left="1134" w:header="851" w:footer="992" w:gutter="0"/>
      <w:pgNumType w:fmt="numberInDash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87546"/>
    <w:multiLevelType w:val="singleLevel"/>
    <w:tmpl w:val="CC68754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66936A56"/>
    <w:multiLevelType w:val="singleLevel"/>
    <w:tmpl w:val="66936A5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yNTg2ODJkMWVlMWE1MTJkN2VlMjgwZTk3ZTYzY2IifQ=="/>
  </w:docVars>
  <w:rsids>
    <w:rsidRoot w:val="6ECF169E"/>
    <w:rsid w:val="063E2AA6"/>
    <w:rsid w:val="08BA52F8"/>
    <w:rsid w:val="15E52C78"/>
    <w:rsid w:val="22C571C7"/>
    <w:rsid w:val="3079464E"/>
    <w:rsid w:val="329B2608"/>
    <w:rsid w:val="386A1DBC"/>
    <w:rsid w:val="388258F2"/>
    <w:rsid w:val="3BA52321"/>
    <w:rsid w:val="53426862"/>
    <w:rsid w:val="551A036D"/>
    <w:rsid w:val="6ECF169E"/>
    <w:rsid w:val="74077E32"/>
    <w:rsid w:val="7C1F1B38"/>
    <w:rsid w:val="7C65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autoRedefine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1926</Words>
  <Characters>2156</Characters>
  <Lines>0</Lines>
  <Paragraphs>0</Paragraphs>
  <TotalTime>29</TotalTime>
  <ScaleCrop>false</ScaleCrop>
  <LinksUpToDate>false</LinksUpToDate>
  <CharactersWithSpaces>2195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2024-05-07T07:07:00Z</dcterms:created>
  <dc:creator>Yo.u..呐</dc:creator>
  <cp:lastModifiedBy>龚德鑫</cp:lastModifiedBy>
  <cp:lastPrinted>2024-05-08T07:33:00Z</cp:lastPrinted>
  <dcterms:modified xsi:type="dcterms:W3CDTF">2024-06-14T03:30:04Z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DC6F27014EDF4454913EC95A4D10D6C7_11</vt:lpwstr>
  </property>
</Properties>
</file>