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Segoe UI" w:hAnsi="Segoe UI"/>
          <w:b/>
          <w:i w:val="0"/>
          <w:color w:val="04308F"/>
          <w:sz w:val="44"/>
        </w:rPr>
        <w:t>System Architecture &amp; Technical Documentation - Deagensie Platform</w:t>
      </w:r>
    </w:p>
    <w:p>
      <w:pPr>
        <w:spacing w:before="280" w:after="120"/>
      </w:pPr>
      <w:r>
        <w:rPr>
          <w:rFonts w:ascii="Segoe UI" w:hAnsi="Segoe UI"/>
          <w:b/>
          <w:i w:val="0"/>
          <w:color w:val="04308F"/>
          <w:sz w:val="32"/>
        </w:rPr>
        <w:t>1. Executive Summary &amp; Vision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</w:r>
      <w:r>
        <w:rPr>
          <w:rFonts w:ascii="Segoe UI" w:hAnsi="Segoe UI"/>
          <w:b/>
          <w:i w:val="0"/>
          <w:color w:val="1E1E1E"/>
          <w:sz w:val="21"/>
        </w:rPr>
        <w:t>Deagensie</w:t>
      </w:r>
      <w:r>
        <w:rPr>
          <w:rFonts w:ascii="Segoe UI" w:hAnsi="Segoe UI"/>
          <w:b w:val="0"/>
          <w:i w:val="0"/>
          <w:color w:val="333333"/>
          <w:sz w:val="21"/>
        </w:rPr>
        <w:t xml:space="preserve"> is a next-generation AI-driven brand engineering ecosystem, predictive marketing intelligence platform, and </w:t>
      </w:r>
      <w:r>
        <w:rPr>
          <w:rFonts w:ascii="Segoe UI" w:hAnsi="Segoe UI"/>
          <w:b/>
          <w:i w:val="0"/>
          <w:color w:val="1E1E1E"/>
          <w:sz w:val="21"/>
        </w:rPr>
        <w:t>Talent-as-a-Service (TaaS)</w:t>
      </w:r>
      <w:r>
        <w:rPr>
          <w:rFonts w:ascii="Segoe UI" w:hAnsi="Segoe UI"/>
          <w:b w:val="0"/>
          <w:i w:val="0"/>
          <w:color w:val="333333"/>
          <w:sz w:val="21"/>
        </w:rPr>
        <w:t xml:space="preserve"> bridge built to connect African creative talent with global enterprises, scale-ups, and ambitious founders.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The platform serves two primary audiences: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Ventures &amp; Businesses</w:t>
      </w:r>
      <w:r>
        <w:rPr>
          <w:rFonts w:ascii="Segoe UI" w:hAnsi="Segoe UI"/>
          <w:b w:val="0"/>
          <w:i w:val="0"/>
          <w:color w:val="3C3C3C"/>
          <w:sz w:val="20"/>
        </w:rPr>
        <w:t>: Accelerating growth through AI-powered market positioning, investor-ready brand engineering, and on-demand creative squads.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 xml:space="preserve">2. </w:t>
      </w:r>
      <w:r>
        <w:rPr>
          <w:rFonts w:ascii="Segoe UI" w:hAnsi="Segoe UI"/>
          <w:b/>
          <w:i w:val="0"/>
          <w:color w:val="1E1E1E"/>
          <w:sz w:val="21"/>
        </w:rPr>
        <w:t>African Creatives</w:t>
      </w:r>
      <w:r>
        <w:rPr>
          <w:rFonts w:ascii="Segoe UI" w:hAnsi="Segoe UI"/>
          <w:b w:val="0"/>
          <w:i w:val="0"/>
          <w:color w:val="333333"/>
          <w:sz w:val="21"/>
        </w:rPr>
        <w:t>: Providing global career opportunities, competitive income, and career acceleration while keeping talent rooted in their local communities.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---</w:t>
      </w:r>
    </w:p>
    <w:p>
      <w:pPr>
        <w:spacing w:before="280" w:after="120"/>
      </w:pPr>
      <w:r>
        <w:rPr>
          <w:rFonts w:ascii="Segoe UI" w:hAnsi="Segoe UI"/>
          <w:b/>
          <w:i w:val="0"/>
          <w:color w:val="04308F"/>
          <w:sz w:val="32"/>
        </w:rPr>
        <w:t>2. Technology Stack &amp; Framework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2484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2484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Version / Specification</w:t>
            </w:r>
          </w:p>
        </w:tc>
        <w:tc>
          <w:tcPr>
            <w:tcW w:type="dxa" w:w="2484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Role &amp; Usage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**Core Framework**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Nuxt 4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`^4.4.6`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Full-stack Vue SSR/SSG engine, server routing, auto-imports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**UI Library**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Vue 3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`^3.5.34`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Progressive Composition API (`&lt;script setup lang="ts"&gt;`)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**Router**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Vue Router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`^5.0.7`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File-based routing and transition management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**Styling Engine**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Tailwind CSS v4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`^4.3.0`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Inline design tokens (`@theme inline`), utility classes, dark variant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**UI Primitives**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Reka UI &amp; Shadcn Nuxt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`^2.9.7` / `^2.7.3`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Accessible accordions, dialogs, sheets, comboboxes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**Iconography**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Iconify Vue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`@iconify/vue ^5.0.1`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Vector icon sets (HugeIcons, Carbon, Fluent, Mingcute, Solar, etc.)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**Animations**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Custom Reveal Engine &amp; Embla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`embla-carousel-vue ^8.6.0`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Scroll-reveal directives (`v-reveal`), smooth carousels, marquee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**Form Validation**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VeeValidate &amp; Zod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`^4.15.1` / `^4.4.3`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Reactive form state validation, type-safe schemas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**Utilities**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VueUse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`^14.3.0`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Media queries, DOM state hooks, element boundary detection</w:t>
            </w:r>
          </w:p>
        </w:tc>
      </w:tr>
    </w:tbl>
    <w:p>
      <w:pPr>
        <w:spacing w:after="120"/>
      </w:pP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---</w:t>
      </w:r>
    </w:p>
    <w:p>
      <w:pPr>
        <w:spacing w:before="280" w:after="120"/>
      </w:pPr>
      <w:r>
        <w:rPr>
          <w:rFonts w:ascii="Segoe UI" w:hAnsi="Segoe UI"/>
          <w:b/>
          <w:i w:val="0"/>
          <w:color w:val="04308F"/>
          <w:sz w:val="32"/>
        </w:rPr>
        <w:t>3. Design System &amp; Typography Standard</w:t>
      </w:r>
    </w:p>
    <w:p>
      <w:pPr>
        <w:spacing w:before="200" w:after="80"/>
      </w:pPr>
      <w:r>
        <w:rPr>
          <w:rFonts w:ascii="Segoe UI" w:hAnsi="Segoe UI"/>
          <w:b/>
          <w:i w:val="0"/>
          <w:color w:val="026662"/>
          <w:sz w:val="26"/>
        </w:rPr>
        <w:t>3.1 Typography Architecture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Deagensie enforces a strict two-tier typography hierarchy across all screen sizes: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Primary Brand Font — `Prata`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</w:t>
      </w:r>
      <w:r>
        <w:rPr>
          <w:rFonts w:ascii="Consolas" w:hAnsi="Consolas"/>
          <w:b w:val="0"/>
          <w:i w:val="0"/>
          <w:color w:val="04308F"/>
          <w:sz w:val="19"/>
        </w:rPr>
        <w:t>--font-prata</w:t>
      </w:r>
      <w:r>
        <w:rPr>
          <w:rFonts w:ascii="Segoe UI" w:hAnsi="Segoe UI"/>
          <w:b w:val="0"/>
          <w:i w:val="0"/>
          <w:color w:val="3C3C3C"/>
          <w:sz w:val="20"/>
        </w:rPr>
        <w:t xml:space="preserve">, CSS class </w:t>
      </w:r>
      <w:r>
        <w:rPr>
          <w:rFonts w:ascii="Consolas" w:hAnsi="Consolas"/>
          <w:b w:val="0"/>
          <w:i w:val="0"/>
          <w:color w:val="04308F"/>
          <w:sz w:val="19"/>
        </w:rPr>
        <w:t>.font-prata</w:t>
      </w:r>
      <w:r>
        <w:rPr>
          <w:rFonts w:ascii="Segoe UI" w:hAnsi="Segoe UI"/>
          <w:b w:val="0"/>
          <w:i w:val="0"/>
          <w:color w:val="3C3C3C"/>
          <w:sz w:val="20"/>
        </w:rPr>
        <w:t>):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 xml:space="preserve">  - </w:t>
      </w:r>
      <w:r>
        <w:rPr>
          <w:rFonts w:ascii="Segoe UI" w:hAnsi="Segoe UI"/>
          <w:b/>
          <w:i w:val="0"/>
          <w:color w:val="1E1E1E"/>
          <w:sz w:val="21"/>
        </w:rPr>
        <w:t>Typeface</w:t>
      </w:r>
      <w:r>
        <w:rPr>
          <w:rFonts w:ascii="Segoe UI" w:hAnsi="Segoe UI"/>
          <w:b w:val="0"/>
          <w:i w:val="0"/>
          <w:color w:val="333333"/>
          <w:sz w:val="21"/>
        </w:rPr>
        <w:t>: Google Font 'Prata' (Serif).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 xml:space="preserve">  - </w:t>
      </w:r>
      <w:r>
        <w:rPr>
          <w:rFonts w:ascii="Segoe UI" w:hAnsi="Segoe UI"/>
          <w:b/>
          <w:i w:val="0"/>
          <w:color w:val="1E1E1E"/>
          <w:sz w:val="21"/>
        </w:rPr>
        <w:t>Usage</w:t>
      </w:r>
      <w:r>
        <w:rPr>
          <w:rFonts w:ascii="Segoe UI" w:hAnsi="Segoe UI"/>
          <w:b w:val="0"/>
          <w:i w:val="0"/>
          <w:color w:val="333333"/>
          <w:sz w:val="21"/>
        </w:rPr>
        <w:t>: Primary page headlines (</w:t>
      </w:r>
      <w:r>
        <w:rPr>
          <w:rFonts w:ascii="Consolas" w:hAnsi="Consolas"/>
          <w:b w:val="0"/>
          <w:i w:val="0"/>
          <w:color w:val="04308F"/>
          <w:sz w:val="19"/>
        </w:rPr>
        <w:t>h1</w:t>
      </w:r>
      <w:r>
        <w:rPr>
          <w:rFonts w:ascii="Segoe UI" w:hAnsi="Segoe UI"/>
          <w:b w:val="0"/>
          <w:i w:val="0"/>
          <w:color w:val="333333"/>
          <w:sz w:val="21"/>
        </w:rPr>
        <w:t>), section titles (</w:t>
      </w:r>
      <w:r>
        <w:rPr>
          <w:rFonts w:ascii="Consolas" w:hAnsi="Consolas"/>
          <w:b w:val="0"/>
          <w:i w:val="0"/>
          <w:color w:val="04308F"/>
          <w:sz w:val="19"/>
        </w:rPr>
        <w:t>h2</w:t>
      </w:r>
      <w:r>
        <w:rPr>
          <w:rFonts w:ascii="Segoe UI" w:hAnsi="Segoe UI"/>
          <w:b w:val="0"/>
          <w:i w:val="0"/>
          <w:color w:val="333333"/>
          <w:sz w:val="21"/>
        </w:rPr>
        <w:t>), card titles (</w:t>
      </w:r>
      <w:r>
        <w:rPr>
          <w:rFonts w:ascii="Consolas" w:hAnsi="Consolas"/>
          <w:b w:val="0"/>
          <w:i w:val="0"/>
          <w:color w:val="04308F"/>
          <w:sz w:val="19"/>
        </w:rPr>
        <w:t>h3</w:t>
      </w:r>
      <w:r>
        <w:rPr>
          <w:rFonts w:ascii="Segoe UI" w:hAnsi="Segoe U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b w:val="0"/>
          <w:i w:val="0"/>
          <w:color w:val="04308F"/>
          <w:sz w:val="19"/>
        </w:rPr>
        <w:t>h4</w:t>
      </w:r>
      <w:r>
        <w:rPr>
          <w:rFonts w:ascii="Segoe UI" w:hAnsi="Segoe UI"/>
          <w:b w:val="0"/>
          <w:i w:val="0"/>
          <w:color w:val="333333"/>
          <w:sz w:val="21"/>
        </w:rPr>
        <w:t>), stat callout numbers (</w:t>
      </w:r>
      <w:r>
        <w:rPr>
          <w:rFonts w:ascii="Consolas" w:hAnsi="Consolas"/>
          <w:b w:val="0"/>
          <w:i w:val="0"/>
          <w:color w:val="04308F"/>
          <w:sz w:val="19"/>
        </w:rPr>
        <w:t>.stat-value</w:t>
      </w:r>
      <w:r>
        <w:rPr>
          <w:rFonts w:ascii="Segoe UI" w:hAnsi="Segoe UI"/>
          <w:b w:val="0"/>
          <w:i w:val="0"/>
          <w:color w:val="333333"/>
          <w:sz w:val="21"/>
        </w:rPr>
        <w:t>), and high-impact editorial statements.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 xml:space="preserve">  - </w:t>
      </w:r>
      <w:r>
        <w:rPr>
          <w:rFonts w:ascii="Segoe UI" w:hAnsi="Segoe UI"/>
          <w:b/>
          <w:i w:val="0"/>
          <w:color w:val="1E1E1E"/>
          <w:sz w:val="21"/>
        </w:rPr>
        <w:t>Design Purpose</w:t>
      </w:r>
      <w:r>
        <w:rPr>
          <w:rFonts w:ascii="Segoe UI" w:hAnsi="Segoe UI"/>
          <w:b w:val="0"/>
          <w:i w:val="0"/>
          <w:color w:val="333333"/>
          <w:sz w:val="21"/>
        </w:rPr>
        <w:t>: Imparts a sophisticated, high-end, editorial aesthetic inspired by luxury publication design.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Secondary Body Font — `Open Sans`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</w:t>
      </w:r>
      <w:r>
        <w:rPr>
          <w:rFonts w:ascii="Consolas" w:hAnsi="Consolas"/>
          <w:b w:val="0"/>
          <w:i w:val="0"/>
          <w:color w:val="04308F"/>
          <w:sz w:val="19"/>
        </w:rPr>
        <w:t>--font-open-sans</w:t>
      </w:r>
      <w:r>
        <w:rPr>
          <w:rFonts w:ascii="Segoe UI" w:hAnsi="Segoe UI"/>
          <w:b w:val="0"/>
          <w:i w:val="0"/>
          <w:color w:val="3C3C3C"/>
          <w:sz w:val="20"/>
        </w:rPr>
        <w:t xml:space="preserve">, CSS class </w:t>
      </w:r>
      <w:r>
        <w:rPr>
          <w:rFonts w:ascii="Consolas" w:hAnsi="Consolas"/>
          <w:b w:val="0"/>
          <w:i w:val="0"/>
          <w:color w:val="04308F"/>
          <w:sz w:val="19"/>
        </w:rPr>
        <w:t>.font-open-sans</w:t>
      </w:r>
      <w:r>
        <w:rPr>
          <w:rFonts w:ascii="Segoe UI" w:hAnsi="Segoe UI"/>
          <w:b w:val="0"/>
          <w:i w:val="0"/>
          <w:color w:val="3C3C3C"/>
          <w:sz w:val="20"/>
        </w:rPr>
        <w:t>):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 xml:space="preserve">  - </w:t>
      </w:r>
      <w:r>
        <w:rPr>
          <w:rFonts w:ascii="Segoe UI" w:hAnsi="Segoe UI"/>
          <w:b/>
          <w:i w:val="0"/>
          <w:color w:val="1E1E1E"/>
          <w:sz w:val="21"/>
        </w:rPr>
        <w:t>Typeface</w:t>
      </w:r>
      <w:r>
        <w:rPr>
          <w:rFonts w:ascii="Segoe UI" w:hAnsi="Segoe UI"/>
          <w:b w:val="0"/>
          <w:i w:val="0"/>
          <w:color w:val="333333"/>
          <w:sz w:val="21"/>
        </w:rPr>
        <w:t>: Google Font 'Open Sans' (Sans-Serif).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 xml:space="preserve">  - </w:t>
      </w:r>
      <w:r>
        <w:rPr>
          <w:rFonts w:ascii="Segoe UI" w:hAnsi="Segoe UI"/>
          <w:b/>
          <w:i w:val="0"/>
          <w:color w:val="1E1E1E"/>
          <w:sz w:val="21"/>
        </w:rPr>
        <w:t>Usage</w:t>
      </w:r>
      <w:r>
        <w:rPr>
          <w:rFonts w:ascii="Segoe UI" w:hAnsi="Segoe UI"/>
          <w:b w:val="0"/>
          <w:i w:val="0"/>
          <w:color w:val="333333"/>
          <w:sz w:val="21"/>
        </w:rPr>
        <w:t>: Global body copy (</w:t>
      </w:r>
      <w:r>
        <w:rPr>
          <w:rFonts w:ascii="Consolas" w:hAnsi="Consolas"/>
          <w:b w:val="0"/>
          <w:i w:val="0"/>
          <w:color w:val="04308F"/>
          <w:sz w:val="19"/>
        </w:rPr>
        <w:t>p</w:t>
      </w:r>
      <w:r>
        <w:rPr>
          <w:rFonts w:ascii="Segoe UI" w:hAnsi="Segoe UI"/>
          <w:b w:val="0"/>
          <w:i w:val="0"/>
          <w:color w:val="333333"/>
          <w:sz w:val="21"/>
        </w:rPr>
        <w:t>), subheadings, list items (</w:t>
      </w:r>
      <w:r>
        <w:rPr>
          <w:rFonts w:ascii="Consolas" w:hAnsi="Consolas"/>
          <w:b w:val="0"/>
          <w:i w:val="0"/>
          <w:color w:val="04308F"/>
          <w:sz w:val="19"/>
        </w:rPr>
        <w:t>li</w:t>
      </w:r>
      <w:r>
        <w:rPr>
          <w:rFonts w:ascii="Segoe UI" w:hAnsi="Segoe UI"/>
          <w:b w:val="0"/>
          <w:i w:val="0"/>
          <w:color w:val="333333"/>
          <w:sz w:val="21"/>
        </w:rPr>
        <w:t>), uppercase section badges (</w:t>
      </w:r>
      <w:r>
        <w:rPr>
          <w:rFonts w:ascii="Consolas" w:hAnsi="Consolas"/>
          <w:b w:val="0"/>
          <w:i w:val="0"/>
          <w:color w:val="04308F"/>
          <w:sz w:val="19"/>
        </w:rPr>
        <w:t>span</w:t>
      </w:r>
      <w:r>
        <w:rPr>
          <w:rFonts w:ascii="Segoe UI" w:hAnsi="Segoe UI"/>
          <w:b w:val="0"/>
          <w:i w:val="0"/>
          <w:color w:val="333333"/>
          <w:sz w:val="21"/>
        </w:rPr>
        <w:t xml:space="preserve">), navigation menus, form fields, and UI buttons. Applied globally to </w:t>
      </w:r>
      <w:r>
        <w:rPr>
          <w:rFonts w:ascii="Consolas" w:hAnsi="Consolas"/>
          <w:b w:val="0"/>
          <w:i w:val="0"/>
          <w:color w:val="04308F"/>
          <w:sz w:val="19"/>
        </w:rPr>
        <w:t>body</w:t>
      </w:r>
      <w:r>
        <w:rPr>
          <w:rFonts w:ascii="Segoe UI" w:hAnsi="Segoe UI"/>
          <w:b w:val="0"/>
          <w:i w:val="0"/>
          <w:color w:val="333333"/>
          <w:sz w:val="21"/>
        </w:rPr>
        <w:t>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 xml:space="preserve">  - </w:t>
      </w:r>
      <w:r>
        <w:rPr>
          <w:rFonts w:ascii="Segoe UI" w:hAnsi="Segoe UI"/>
          <w:b/>
          <w:i w:val="0"/>
          <w:color w:val="1E1E1E"/>
          <w:sz w:val="21"/>
        </w:rPr>
        <w:t>Design Purpose</w:t>
      </w:r>
      <w:r>
        <w:rPr>
          <w:rFonts w:ascii="Segoe UI" w:hAnsi="Segoe UI"/>
          <w:b w:val="0"/>
          <w:i w:val="0"/>
          <w:color w:val="333333"/>
          <w:sz w:val="21"/>
        </w:rPr>
        <w:t>: Ensures maximal legibility, crisp rendering, and high accessibility across mobile, tablet, and desktop viewports.</w:t>
      </w:r>
    </w:p>
    <w:p>
      <w:pPr>
        <w:spacing w:before="200" w:after="80"/>
      </w:pPr>
      <w:r>
        <w:rPr>
          <w:rFonts w:ascii="Segoe UI" w:hAnsi="Segoe UI"/>
          <w:b/>
          <w:i w:val="0"/>
          <w:color w:val="026662"/>
          <w:sz w:val="26"/>
        </w:rPr>
        <w:t>3.2 Color System &amp; Utility Classes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Primary Navy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#04308F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(used for primary brand containers, callout backgrounds, dark headers).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Accent Cyan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#05DED5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(used for primary interactive buttons, highlight badges, and focus rings).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Secondary Teal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#026662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(used for deep AI feature cards and dark section surfaces).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Surface Grays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#FCFCFE</w:t>
      </w:r>
      <w:r>
        <w:rPr>
          <w:rFonts w:ascii="Segoe UI" w:hAnsi="Segoe UI"/>
          <w:b w:val="0"/>
          <w:i w:val="0"/>
          <w:color w:val="3C3C3C"/>
          <w:sz w:val="20"/>
        </w:rPr>
        <w:t xml:space="preserve">, </w:t>
      </w:r>
      <w:r>
        <w:rPr>
          <w:rFonts w:ascii="Consolas" w:hAnsi="Consolas"/>
          <w:b w:val="0"/>
          <w:i w:val="0"/>
          <w:color w:val="04308F"/>
          <w:sz w:val="19"/>
        </w:rPr>
        <w:t>#F8FEFE</w:t>
      </w:r>
      <w:r>
        <w:rPr>
          <w:rFonts w:ascii="Segoe UI" w:hAnsi="Segoe UI"/>
          <w:b w:val="0"/>
          <w:i w:val="0"/>
          <w:color w:val="3C3C3C"/>
          <w:sz w:val="20"/>
        </w:rPr>
        <w:t xml:space="preserve">, </w:t>
      </w:r>
      <w:r>
        <w:rPr>
          <w:rFonts w:ascii="Consolas" w:hAnsi="Consolas"/>
          <w:b w:val="0"/>
          <w:i w:val="0"/>
          <w:color w:val="04308F"/>
          <w:sz w:val="19"/>
        </w:rPr>
        <w:t>#F6F6F6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(used for card containers and subtle section separation).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Fluid Font Scaling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font-size: clamp(0.9375rem, 0.875rem + 0.3125vw, 1.0625rem);</w:t>
      </w:r>
      <w:r>
        <w:rPr>
          <w:rFonts w:ascii="Segoe UI" w:hAnsi="Segoe UI"/>
          <w:b w:val="0"/>
          <w:i w:val="0"/>
          <w:color w:val="3C3C3C"/>
          <w:sz w:val="20"/>
        </w:rPr>
        <w:t xml:space="preserve"> for responsive typography across all screen breakpoints.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---</w:t>
      </w:r>
    </w:p>
    <w:p>
      <w:pPr>
        <w:spacing w:before="280" w:after="120"/>
      </w:pPr>
      <w:r>
        <w:rPr>
          <w:rFonts w:ascii="Segoe UI" w:hAnsi="Segoe UI"/>
          <w:b/>
          <w:i w:val="0"/>
          <w:color w:val="04308F"/>
          <w:sz w:val="32"/>
        </w:rPr>
        <w:t>4. Directory Structure Breakdown</w:t>
      </w:r>
    </w:p>
    <w:p>
      <w:pPr>
        <w:spacing w:before="80" w:after="16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282C34"/>
                <w:sz w:val="19"/>
              </w:rPr>
              <w:t>Deagensie-main/</w:t>
              <w:br/>
              <w:t>├── app/</w:t>
              <w:br/>
              <w:t>│   ├── app.vue                           # Root Vue application wrapper with header, footer, &amp; toast providers</w:t>
              <w:br/>
              <w:t>│   ├── assets/</w:t>
              <w:br/>
              <w:t>│   │   └── css/</w:t>
              <w:br/>
              <w:t>│   │       └── main.css                  # Core CSS design system, font declarations, theme tokens, &amp; animations</w:t>
              <w:br/>
              <w:t>│   ├── components/</w:t>
              <w:br/>
              <w:t>│   │   ├── BackToTop.vue                 # Floating scroll-to-top component</w:t>
              <w:br/>
              <w:t>│   │   ├── SiteHeader/</w:t>
              <w:br/>
              <w:t>│   │   │   ├── index.vue                 # Responsive site header wrapper</w:t>
              <w:br/>
              <w:t>│   │   │   ├── DesktopNav.vue            # Desktop nav bar with interactive hover dropdowns</w:t>
              <w:br/>
              <w:t>│   │   │   └── MobileNav.vue             # Mobile sheet navigation drawer with accordions</w:t>
              <w:br/>
              <w:t>│   │   ├── ui/                           # Reusable Shadcn/Reka UI primitives (Accordion, Sheet, Button, etc.)</w:t>
              <w:br/>
              <w:t>│   │   └── pages/                        # Page-specific section components</w:t>
              <w:br/>
              <w:t>│   │       ├── (home)/                   # Homepage sections 0 to 7 &amp; WorkSlide</w:t>
              <w:br/>
              <w:t>│   │       ├── about/                    # About page sections 0 to 6</w:t>
              <w:br/>
              <w:t>│   │       ├── blog/                     # Editorial blog cards and article lists</w:t>
              <w:br/>
              <w:t>│   │       ├── business/                 # Ventures &amp; business growth solution sections 0 to 6</w:t>
              <w:br/>
              <w:t>│   │       ├── contact/                  # Service interest combobox &amp; contact forms</w:t>
              <w:br/>
              <w:t>│   │       ├── creatives/                # Creatives TaaS platform sections 0 to 7</w:t>
              <w:br/>
              <w:t>│   │       ├── portfolio/                # Portfolio modal showcase &amp; case studies</w:t>
              <w:br/>
              <w:t>│   │       ├── register/                 # Multi-step registration components</w:t>
              <w:br/>
              <w:t>│   │       ├── resource/                 # Growth resource hub sections</w:t>
              <w:br/>
              <w:t>│   │       ├── subscription/             # Subscription pricing matrices &amp; detail views</w:t>
              <w:br/>
              <w:t>│   │       ├── waitlist/                 # Waitlist page components</w:t>
              <w:br/>
              <w:t>│   │       └── why/                      # Why Deagensie sections 0 to 10</w:t>
              <w:br/>
              <w:t>│   ├── pages/                            # Nuxt file-system router pages</w:t>
              <w:br/>
              <w:t>│   │   ├── (home)/index.vue              # Homepage route (/)</w:t>
              <w:br/>
              <w:t>│   │   ├── about/index.vue               # About route (/about)</w:t>
              <w:br/>
              <w:t>│   │   ├── blog/                         # Blog routes (/blog, /blog/[slug], /blog/category/[category])</w:t>
              <w:br/>
              <w:t>│   │   ├── business/                     # Business route (/business, /business/solutions)</w:t>
              <w:br/>
              <w:t>│   │   ├── contact/index.vue             # Contact route (/contact)</w:t>
              <w:br/>
              <w:t>│   │   ├── creatives/                    # Creatives route (/creatives, /creatives/joinCreative)</w:t>
              <w:br/>
              <w:t>│   │   ├── portfolio/index.vue           # Portfolio route (/portfolio)</w:t>
              <w:br/>
              <w:t>│   │   ├── register/                     # Registration flow (/register, /register/[type]/[step])</w:t>
              <w:br/>
              <w:t>│   │   ├── resource/index.vue            # Resource hub route (/resource)</w:t>
              <w:br/>
              <w:t>│   │   ├── subscription/                 # Subscription checkout route (/subscription, /subscription/[code])</w:t>
              <w:br/>
              <w:t>│   │   ├── waitlist/index.vue            # Lead capture route (/waitlist)</w:t>
              <w:br/>
              <w:t>│   │   └── why/index.vue                 # Why Deagensie route (/why)</w:t>
              <w:br/>
              <w:t>│   └── utils/</w:t>
              <w:br/>
              <w:t>│       └── page-seo.ts                   # Page SEO metadata &amp; OpenGraph generator</w:t>
              <w:br/>
              <w:t>├── public/                               # Static assets (logos, images, favicon)</w:t>
              <w:br/>
              <w:t>├── ARCHITECTURE.md                        # Platform architecture &amp; system reference document</w:t>
              <w:br/>
              <w:t>├── nuxt.config.ts                        # Nuxt build configuration</w:t>
              <w:br/>
              <w:t>└── package.json                          # Package dependencies &amp; npm scripts</w:t>
            </w:r>
          </w:p>
        </w:tc>
      </w:tr>
    </w:tbl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---</w:t>
      </w:r>
    </w:p>
    <w:p>
      <w:pPr>
        <w:spacing w:before="280" w:after="120"/>
      </w:pPr>
      <w:r>
        <w:rPr>
          <w:rFonts w:ascii="Segoe UI" w:hAnsi="Segoe UI"/>
          <w:b/>
          <w:i w:val="0"/>
          <w:color w:val="04308F"/>
          <w:sz w:val="32"/>
        </w:rPr>
        <w:t>5. Page Topology &amp; Link Interconnection Graph</w:t>
      </w: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The website follows an interconnected hub-and-spoke routing architecture designed to convert visitors into waitlist signups or subscription inquiries:</w:t>
      </w:r>
    </w:p>
    <w:p>
      <w:pPr>
        <w:spacing w:before="80" w:after="16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282C34"/>
                <w:sz w:val="19"/>
              </w:rPr>
              <w:t>flowchart TD</w:t>
              <w:br/>
              <w:t xml:space="preserve">    Header[Site Navigation Header] --&gt; Home["/ (Home Page)"]</w:t>
              <w:br/>
              <w:t xml:space="preserve">    Header --&gt; Ventures["/business (Ventures)"]</w:t>
              <w:br/>
              <w:t xml:space="preserve">    Header --&gt; Creatives["/creatives (Talent-as-a-Service)"]</w:t>
              <w:br/>
              <w:t xml:space="preserve">    Header --&gt; Why["/why (Why Deagensie)"]</w:t>
              <w:br/>
              <w:t xml:space="preserve">    Header --&gt; About["/about (About Us)"]</w:t>
              <w:br/>
              <w:t xml:space="preserve">    Header --&gt; Resources["/resource (Resource Hub)"]</w:t>
              <w:br/>
              <w:t xml:space="preserve">    Header --&gt; Waitlist["/waitlist (Enter Deagensie CTA)"]</w:t>
              <w:br/>
              <w:br/>
              <w:t xml:space="preserve">    Home --&gt; |Featured Solutions| Ventures</w:t>
              <w:br/>
              <w:t xml:space="preserve">    Home --&gt; |Creative Talent Match| Creatives</w:t>
              <w:br/>
              <w:t xml:space="preserve">    Home --&gt; |Brand Differentiation| Why</w:t>
              <w:br/>
              <w:t xml:space="preserve">    Home --&gt; |Case Studies| Portfolio["/portfolio"]</w:t>
              <w:br/>
              <w:t xml:space="preserve">    Home --&gt; |Editorial Articles| Blog["/blog"]</w:t>
              <w:br/>
              <w:t xml:space="preserve">    Home --&gt; |Conversion CTAs| Waitlist</w:t>
              <w:br/>
              <w:br/>
              <w:t xml:space="preserve">    Why --&gt; |Growth Squads| Ventures</w:t>
              <w:br/>
              <w:t xml:space="preserve">    Why --&gt; |Talent Matching| Creatives</w:t>
              <w:br/>
              <w:t xml:space="preserve">    Why --&gt; |Action CTAs| Waitlist</w:t>
              <w:br/>
              <w:br/>
              <w:t xml:space="preserve">    Ventures --&gt; |Growth OS / Talent-as-a-Service| Subscription["/subscription"]</w:t>
              <w:br/>
              <w:t xml:space="preserve">    Ventures --&gt; |Talent Sourcing| Creatives</w:t>
              <w:br/>
              <w:t xml:space="preserve">    Ventures --&gt; |Get Started| Waitlist</w:t>
              <w:br/>
              <w:br/>
              <w:t xml:space="preserve">    Creatives --&gt; |Join Community| Register["/register"]</w:t>
              <w:br/>
              <w:t xml:space="preserve">    Creatives --&gt; |Subscription Plans| Subscription</w:t>
              <w:br/>
              <w:t xml:space="preserve">    Creatives --&gt; |Apply Now| Waitlist</w:t>
              <w:br/>
              <w:br/>
              <w:t xml:space="preserve">    About --&gt; |Our Works| Portfolio</w:t>
              <w:br/>
              <w:t xml:space="preserve">    About --&gt; |Read Insights| Blog</w:t>
              <w:br/>
              <w:t xml:space="preserve">    About --&gt; |Leadership / Vision| Waitlist</w:t>
              <w:br/>
              <w:br/>
              <w:t xml:space="preserve">    Resources --&gt; |Read Blog| Blog</w:t>
              <w:br/>
              <w:t xml:space="preserve">    Resources --&gt; |Knowledge Base| BlogCategory["/blog/category/[category]"]</w:t>
              <w:br/>
              <w:t xml:space="preserve">    Resources --&gt; |Article Details| BlogSlug["/blog/[slug]"]</w:t>
              <w:br/>
              <w:br/>
              <w:t xml:space="preserve">    Subscription --&gt; |Checkout / Plan Inquiry| Checkout["/subscription/[code]/[plan]"]</w:t>
            </w:r>
          </w:p>
        </w:tc>
      </w:tr>
    </w:tbl>
    <w:p>
      <w:pPr>
        <w:spacing w:before="200" w:after="80"/>
      </w:pPr>
      <w:r>
        <w:rPr>
          <w:rFonts w:ascii="Segoe UI" w:hAnsi="Segoe UI"/>
          <w:b/>
          <w:i w:val="0"/>
          <w:color w:val="026662"/>
          <w:sz w:val="26"/>
        </w:rPr>
        <w:t>Detailed Page Responsibilities &amp; Connectivity Matrix: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Route Path</w:t>
            </w:r>
          </w:p>
        </w:tc>
        <w:tc>
          <w:tcPr>
            <w:tcW w:type="dxa" w:w="1987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Page Title</w:t>
            </w:r>
          </w:p>
        </w:tc>
        <w:tc>
          <w:tcPr>
            <w:tcW w:type="dxa" w:w="1987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Primary Function</w:t>
            </w:r>
          </w:p>
        </w:tc>
        <w:tc>
          <w:tcPr>
            <w:tcW w:type="dxa" w:w="1987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Inbound Links From</w:t>
            </w:r>
          </w:p>
        </w:tc>
        <w:tc>
          <w:tcPr>
            <w:tcW w:type="dxa" w:w="1987"/>
            <w:shd w:fill="04308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Key Outbound Links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`/`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Home Page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Executive landing page introducing Deagensie's AI growth engine, client results, and core offerings.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Header logo, Footer logo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`/business`, `/creatives`, `/why`, `/about`, `/portfolio`, `/blog`, `/waitlist`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`/why`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Why Deagensie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11-part breakdown of Deagensie's AI capabilities, Growth Lab, African creative power, and value proposition.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Desktop nav dropdown, Mobile nav accordion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`/waitlist`, `/business`, `/creatives`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`/business`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Ventures Growth Lab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Detailed breakdown of strategy, brand engineering, marketing, and digital platform services for businesses.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Desktop nav 'Ventures', Mobile nav accordion, Home links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`/subscription`, `/creatives`, `/waitlist`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`/creatives`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Talent-as-a-Service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Portal for African creative talent to join the platform and for companies seeking creative teams.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Desktop nav 'Creatives', Mobile nav accordion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`/waitlist`, `/subscription`, `/register`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`/about`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About Us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Company story, mission statement, leadership showcase, and ecosystem vision.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Desktop nav 'About Us', Mobile nav accordion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`/portfolio`, `/waitlist`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`/resource`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Resource Hub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Central repository for eBooks, guides, whitepapers, and industry intelligence.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Desktop nav 'Resources', Mobile nav accordion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`/blog`, `/blog/category/[category]`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`/blog`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Editorial Blog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Editorial article feed with category filtering and featured stories.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Resource Hub, Home section, Desktop nav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`/blog/[slug]`, `/blog/category/[category]`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`/portfolio`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Our Portfolio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Work showcases, client success stories, and campaign detail modals.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About page, Home page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`/waitlist`, `/business`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`/subscription`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Flexible Subscription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Subscription tiers for GrowthOS and Talent-as-a-Service plans.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Ventures page, Creatives page, Dropdowns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`/subscription/[code]/[plan]`, `/waitlist`</w:t>
            </w:r>
          </w:p>
        </w:tc>
      </w:tr>
      <w:tr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`/waitlist`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Enter Deagensie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Central lead capture and user onboarding portal.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Top nav CTA button ("Enter Deagensie"), Page CTAs</w:t>
            </w:r>
          </w:p>
        </w:tc>
        <w:tc>
          <w:tcPr>
            <w:tcW w:type="dxa" w:w="1987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`/`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`/contact`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Contact Us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Direct contact form and service interest selection.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Footer links, Direct URLs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333333"/>
                <w:sz w:val="19"/>
              </w:rPr>
              <w:t>`/`</w:t>
            </w:r>
          </w:p>
        </w:tc>
      </w:tr>
    </w:tbl>
    <w:p>
      <w:pPr>
        <w:spacing w:after="120"/>
      </w:pPr>
    </w:p>
    <w:p>
      <w:pPr>
        <w:spacing w:before="60" w:after="120"/>
      </w:pPr>
      <w:r>
        <w:rPr>
          <w:rFonts w:ascii="Segoe UI" w:hAnsi="Segoe UI"/>
          <w:b w:val="0"/>
          <w:i w:val="0"/>
          <w:color w:val="333333"/>
          <w:sz w:val="21"/>
        </w:rPr>
        <w:t>---</w:t>
      </w:r>
    </w:p>
    <w:p>
      <w:pPr>
        <w:spacing w:before="280" w:after="120"/>
      </w:pPr>
      <w:r>
        <w:rPr>
          <w:rFonts w:ascii="Segoe UI" w:hAnsi="Segoe UI"/>
          <w:b/>
          <w:i w:val="0"/>
          <w:color w:val="04308F"/>
          <w:sz w:val="32"/>
        </w:rPr>
        <w:t>6. Development, Linting &amp; Build Workflow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Development Server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pnpm dev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(runs Nuxt 4 development environment).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Build Target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pnpm build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(compiles production bundle using Nitro engine).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Code Quality</w:t>
      </w:r>
      <w:r>
        <w:rPr>
          <w:rFonts w:ascii="Segoe UI" w:hAnsi="Segoe UI"/>
          <w:b w:val="0"/>
          <w:i w:val="0"/>
          <w:color w:val="3C3C3C"/>
          <w:sz w:val="20"/>
        </w:rPr>
        <w:t xml:space="preserve">: </w:t>
      </w:r>
      <w:r>
        <w:rPr>
          <w:rFonts w:ascii="Consolas" w:hAnsi="Consolas"/>
          <w:b w:val="0"/>
          <w:i w:val="0"/>
          <w:color w:val="04308F"/>
          <w:sz w:val="19"/>
        </w:rPr>
        <w:t>pnpm validate</w:t>
      </w:r>
      <w:r>
        <w:rPr>
          <w:rFonts w:ascii="Segoe UI" w:hAnsi="Segoe UI"/>
          <w:b w:val="0"/>
          <w:i w:val="0"/>
          <w:color w:val="3C3C3C"/>
          <w:sz w:val="20"/>
        </w:rPr>
        <w:t xml:space="preserve"> (runs Prettier formatting check and ESLint).</w:t>
      </w:r>
    </w:p>
    <w:p>
      <w:pPr>
        <w:spacing w:before="40" w:after="60"/>
        <w:ind w:left="360"/>
      </w:pPr>
      <w:r>
        <w:rPr>
          <w:rFonts w:ascii="Segoe UI" w:hAnsi="Segoe UI"/>
          <w:b/>
          <w:i w:val="0"/>
          <w:color w:val="04308F"/>
          <w:sz w:val="20"/>
        </w:rPr>
        <w:t xml:space="preserve">• </w:t>
      </w:r>
      <w:r>
        <w:rPr>
          <w:rFonts w:ascii="Segoe UI" w:hAnsi="Segoe UI"/>
          <w:b w:val="0"/>
          <w:i w:val="0"/>
          <w:color w:val="3C3C3C"/>
          <w:sz w:val="20"/>
        </w:rPr>
      </w:r>
      <w:r>
        <w:rPr>
          <w:rFonts w:ascii="Segoe UI" w:hAnsi="Segoe UI"/>
          <w:b/>
          <w:i w:val="0"/>
          <w:color w:val="1E1E1E"/>
          <w:sz w:val="20"/>
        </w:rPr>
        <w:t>Git Hooks</w:t>
      </w:r>
      <w:r>
        <w:rPr>
          <w:rFonts w:ascii="Segoe UI" w:hAnsi="Segoe UI"/>
          <w:b w:val="0"/>
          <w:i w:val="0"/>
          <w:color w:val="3C3C3C"/>
          <w:sz w:val="20"/>
        </w:rPr>
        <w:t>: Lefthook automatically executes pre-commit formatting and linting rules prior to commits.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