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Розробка програмного забезпечення мобільних пристроїв</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5">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Виконав</w:t>
      </w:r>
      <w:r w:rsidDel="00000000" w:rsidR="00000000" w:rsidRPr="00000000">
        <w:rPr>
          <w:rFonts w:ascii="Times New Roman" w:cs="Times New Roman" w:eastAsia="Times New Roman" w:hAnsi="Times New Roman"/>
          <w:b w:val="1"/>
          <w:color w:val="000000"/>
          <w:sz w:val="32"/>
          <w:szCs w:val="32"/>
          <w:u w:val="single"/>
          <w:rtl w:val="0"/>
        </w:rPr>
        <w:t xml:space="preserve">:</w:t>
      </w:r>
      <w:r w:rsidDel="00000000" w:rsidR="00000000" w:rsidRPr="00000000">
        <w:rPr>
          <w:rFonts w:ascii="Times New Roman" w:cs="Times New Roman" w:eastAsia="Times New Roman" w:hAnsi="Times New Roman"/>
          <w:color w:val="000000"/>
          <w:sz w:val="32"/>
          <w:szCs w:val="32"/>
          <w:rtl w:val="0"/>
        </w:rPr>
        <w:br w:type="textWrapping"/>
        <w:t xml:space="preserve">студент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rtl w:val="0"/>
        </w:rPr>
        <w:t xml:space="preserve">ТВ</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Fonts w:ascii="Times New Roman" w:cs="Times New Roman" w:eastAsia="Times New Roman" w:hAnsi="Times New Roman"/>
          <w:sz w:val="32"/>
          <w:szCs w:val="32"/>
          <w:rtl w:val="0"/>
        </w:rPr>
        <w:t xml:space="preserve">Деревянко Андрій Юрійович</w:t>
      </w:r>
      <w:r w:rsidDel="00000000" w:rsidR="00000000" w:rsidRPr="00000000">
        <w:rPr>
          <w:rtl w:val="0"/>
        </w:rPr>
      </w:r>
    </w:p>
    <w:p w:rsidR="00000000" w:rsidDel="00000000" w:rsidP="00000000" w:rsidRDefault="00000000" w:rsidRPr="00000000" w14:paraId="00000016">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 https://github.com/DereviankoAndrew/4-course-app-dev</w:t>
      </w:r>
    </w:p>
    <w:p w:rsidR="00000000" w:rsidDel="00000000" w:rsidP="00000000" w:rsidRDefault="00000000" w:rsidRPr="00000000" w14:paraId="00000017">
      <w:pPr>
        <w:spacing w:after="0" w:line="240" w:lineRule="auto"/>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A">
      <w:pPr>
        <w:tabs>
          <w:tab w:val="left" w:leader="none" w:pos="1260"/>
          <w:tab w:val="left" w:leader="none" w:pos="8550"/>
        </w:tabs>
        <w:rPr/>
      </w:pPr>
      <w:r w:rsidDel="00000000" w:rsidR="00000000" w:rsidRPr="00000000">
        <w:rPr>
          <w:rtl w:val="0"/>
        </w:rPr>
        <w:tab/>
      </w:r>
    </w:p>
    <w:p w:rsidR="00000000" w:rsidDel="00000000" w:rsidP="00000000" w:rsidRDefault="00000000" w:rsidRPr="00000000" w14:paraId="0000001B">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1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Варіант №14</w:t>
      </w:r>
    </w:p>
    <w:p w:rsidR="00000000" w:rsidDel="00000000" w:rsidP="00000000" w:rsidRDefault="00000000" w:rsidRPr="00000000" w14:paraId="0000001E">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Завдання:</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Написати мобільний калькулятор для розрахунку валових викидів шкідливих речовин у  вигляді суспендованих твердих частинок при спалювання вугілля, мазуту та природного газу  якщо розглядається: </w:t>
      </w:r>
    </w:p>
    <w:p w:rsidR="00000000" w:rsidDel="00000000" w:rsidP="00000000" w:rsidRDefault="00000000" w:rsidRPr="00000000" w14:paraId="00000020">
      <w:pPr>
        <w:widowControl w:val="0"/>
        <w:spacing w:after="0" w:before="15.2294921875" w:line="275.94532012939453" w:lineRule="auto"/>
        <w:ind w:left="132.72003173828125" w:right="58.319091796875" w:firstLine="705.52001953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Енергоблок з котлом, призначеним для факельного спалювання вугілля з високим  вмістом летких, типу газового або довгополуменевого, з рідким шлаковидаленням. Номінальна  паропродуктивність котла енергоблока становить 950 т/год, а середня фактична  паропродуктивність – 760 т/год. На ньому застосовується ступенева подача повітря та  рециркуляція димових газів. Пароперегрівачі котла очищуються при зупинці блока. Для  уловлювання твердих частинок використовується електростатичний фільтр типу ЕГА з  ефективністю золовловлення 0,985. </w:t>
      </w:r>
    </w:p>
    <w:p w:rsidR="00000000" w:rsidDel="00000000" w:rsidP="00000000" w:rsidRDefault="00000000" w:rsidRPr="00000000" w14:paraId="00000021">
      <w:pPr>
        <w:widowControl w:val="0"/>
        <w:spacing w:after="0" w:before="15.174560546875" w:line="275.88855743408203" w:lineRule="auto"/>
        <w:ind w:left="838.2400512695312" w:right="1600.6390380859375" w:hanging="1.920013427734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Установки для очищення димових газів від оксидів азоту та сірки відсутні. За звітний період використовувалось таке паливо: </w:t>
      </w:r>
    </w:p>
    <w:p w:rsidR="00000000" w:rsidDel="00000000" w:rsidP="00000000" w:rsidRDefault="00000000" w:rsidRPr="00000000" w14:paraId="00000022">
      <w:pPr>
        <w:widowControl w:val="0"/>
        <w:spacing w:after="0" w:before="15.2319335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донецьке газове вугілля марки ГР – 1.096.363 т; </w:t>
      </w:r>
    </w:p>
    <w:p w:rsidR="00000000" w:rsidDel="00000000" w:rsidP="00000000" w:rsidRDefault="00000000" w:rsidRPr="00000000" w14:paraId="00000023">
      <w:pPr>
        <w:widowControl w:val="0"/>
        <w:spacing w:after="0" w:before="51.12060546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високосірчистий мазут марки 40 – 70.945 т; </w:t>
      </w:r>
    </w:p>
    <w:p w:rsidR="00000000" w:rsidDel="00000000" w:rsidP="00000000" w:rsidRDefault="00000000" w:rsidRPr="00000000" w14:paraId="00000024">
      <w:pPr>
        <w:widowControl w:val="0"/>
        <w:spacing w:after="0" w:before="41.51977539062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природний газ із газопроводу Уренгой-Ужгород – 84 762 тис. м</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widowControl w:val="0"/>
        <w:spacing w:after="0" w:before="49.5166015625" w:line="267.8930854797363" w:lineRule="auto"/>
        <w:ind w:left="842.5601196289062" w:right="278.4765625" w:hanging="4.320068359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даними елементного та технічного аналізу склад робочої маси вугілля наступний, %: - вуглець (C</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52,49; </w:t>
      </w:r>
    </w:p>
    <w:p w:rsidR="00000000" w:rsidDel="00000000" w:rsidP="00000000" w:rsidRDefault="00000000" w:rsidRPr="00000000" w14:paraId="00000026">
      <w:pPr>
        <w:widowControl w:val="0"/>
        <w:spacing w:after="0" w:before="13.626708984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водень (H</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3,50; </w:t>
      </w:r>
    </w:p>
    <w:p w:rsidR="00000000" w:rsidDel="00000000" w:rsidP="00000000" w:rsidRDefault="00000000" w:rsidRPr="00000000" w14:paraId="00000027">
      <w:pPr>
        <w:widowControl w:val="0"/>
        <w:spacing w:after="0" w:before="39.916381835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кисень (O</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4,99; </w:t>
      </w:r>
    </w:p>
    <w:p w:rsidR="00000000" w:rsidDel="00000000" w:rsidP="00000000" w:rsidRDefault="00000000" w:rsidRPr="00000000" w14:paraId="00000028">
      <w:pPr>
        <w:widowControl w:val="0"/>
        <w:spacing w:after="0" w:before="39.916381835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азот (N</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0,97; </w:t>
      </w:r>
    </w:p>
    <w:p w:rsidR="00000000" w:rsidDel="00000000" w:rsidP="00000000" w:rsidRDefault="00000000" w:rsidRPr="00000000" w14:paraId="00000029">
      <w:pPr>
        <w:widowControl w:val="0"/>
        <w:spacing w:after="0" w:before="39.916381835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сірка (S</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2,85; </w:t>
      </w:r>
    </w:p>
    <w:p w:rsidR="00000000" w:rsidDel="00000000" w:rsidP="00000000" w:rsidRDefault="00000000" w:rsidRPr="00000000" w14:paraId="0000002A">
      <w:pPr>
        <w:widowControl w:val="0"/>
        <w:spacing w:after="0" w:before="39.9169921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зола (A</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25,20; </w:t>
      </w:r>
    </w:p>
    <w:p w:rsidR="00000000" w:rsidDel="00000000" w:rsidP="00000000" w:rsidRDefault="00000000" w:rsidRPr="00000000" w14:paraId="0000002B">
      <w:pPr>
        <w:widowControl w:val="0"/>
        <w:spacing w:after="0" w:before="39.916381835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волога (W</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10,00; </w:t>
      </w:r>
    </w:p>
    <w:p w:rsidR="00000000" w:rsidDel="00000000" w:rsidP="00000000" w:rsidRDefault="00000000" w:rsidRPr="00000000" w14:paraId="0000002C">
      <w:pPr>
        <w:widowControl w:val="0"/>
        <w:spacing w:after="0" w:before="49.44946289062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леткі речовини (Vr) – 25,92. </w:t>
      </w:r>
    </w:p>
    <w:p w:rsidR="00000000" w:rsidDel="00000000" w:rsidP="00000000" w:rsidRDefault="00000000" w:rsidRPr="00000000" w14:paraId="0000002D">
      <w:pPr>
        <w:widowControl w:val="0"/>
        <w:spacing w:after="0" w:before="49.9200439453125" w:line="270.4804229736328" w:lineRule="auto"/>
        <w:ind w:left="134.64004516601562" w:right="58.079833984375" w:firstLine="702.64007568359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Нижча теплота згоряння робочої маси вугілля становить 20,47 МДж/кг. Технічний аналіз  уловленої золи та шлаку показав, що масовий вміст горючих речовин у леткій золі </w:t>
      </w:r>
      <w:r w:rsidDel="00000000" w:rsidR="00000000" w:rsidRPr="00000000">
        <w:rPr>
          <w:rFonts w:ascii="Times New Roman" w:cs="Times New Roman" w:eastAsia="Times New Roman" w:hAnsi="Times New Roman"/>
          <w:i w:val="1"/>
          <w:sz w:val="28"/>
          <w:szCs w:val="28"/>
          <w:rtl w:val="0"/>
        </w:rPr>
        <w:t xml:space="preserve">Гвин </w:t>
      </w:r>
      <w:r w:rsidDel="00000000" w:rsidR="00000000" w:rsidRPr="00000000">
        <w:rPr>
          <w:rFonts w:ascii="Times New Roman" w:cs="Times New Roman" w:eastAsia="Times New Roman" w:hAnsi="Times New Roman"/>
          <w:sz w:val="28"/>
          <w:szCs w:val="28"/>
          <w:rtl w:val="0"/>
        </w:rPr>
        <w:t xml:space="preserve">дорівнює 1,5 %, а в шлаці </w:t>
      </w:r>
      <w:r w:rsidDel="00000000" w:rsidR="00000000" w:rsidRPr="00000000">
        <w:rPr>
          <w:rFonts w:ascii="Times New Roman" w:cs="Times New Roman" w:eastAsia="Times New Roman" w:hAnsi="Times New Roman"/>
          <w:i w:val="1"/>
          <w:sz w:val="28"/>
          <w:szCs w:val="28"/>
          <w:rtl w:val="0"/>
        </w:rPr>
        <w:t xml:space="preserve">Гшл </w:t>
      </w:r>
      <w:r w:rsidDel="00000000" w:rsidR="00000000" w:rsidRPr="00000000">
        <w:rPr>
          <w:rFonts w:ascii="Times New Roman" w:cs="Times New Roman" w:eastAsia="Times New Roman" w:hAnsi="Times New Roman"/>
          <w:sz w:val="28"/>
          <w:szCs w:val="28"/>
          <w:rtl w:val="0"/>
        </w:rPr>
        <w:t xml:space="preserve">– 0,5 %. </w:t>
      </w:r>
    </w:p>
    <w:p w:rsidR="00000000" w:rsidDel="00000000" w:rsidP="00000000" w:rsidRDefault="00000000" w:rsidRPr="00000000" w14:paraId="0000002E">
      <w:pPr>
        <w:widowControl w:val="0"/>
        <w:spacing w:after="0" w:before="9.62890625" w:line="275.88955879211426" w:lineRule="auto"/>
        <w:ind w:left="842.5601196289062" w:right="1383.3599853515625" w:hanging="4.320068359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даними таблиці А.3 (додаток А) склад горючої маси мазуту настуgний, %: - вуглець – 85,50; </w:t>
      </w:r>
    </w:p>
    <w:p w:rsidR="00000000" w:rsidDel="00000000" w:rsidP="00000000" w:rsidRDefault="00000000" w:rsidRPr="00000000" w14:paraId="0000002F">
      <w:pPr>
        <w:widowControl w:val="0"/>
        <w:spacing w:after="0" w:before="15.230102539062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водень – 11,20; </w:t>
      </w:r>
    </w:p>
    <w:p w:rsidR="00000000" w:rsidDel="00000000" w:rsidP="00000000" w:rsidRDefault="00000000" w:rsidRPr="00000000" w14:paraId="00000030">
      <w:pPr>
        <w:widowControl w:val="0"/>
        <w:spacing w:after="0" w:before="51.12060546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кисень та азот – 0,80; </w:t>
      </w:r>
    </w:p>
    <w:p w:rsidR="00000000" w:rsidDel="00000000" w:rsidP="00000000" w:rsidRDefault="00000000" w:rsidRPr="00000000" w14:paraId="00000031">
      <w:pPr>
        <w:widowControl w:val="0"/>
        <w:spacing w:after="0" w:before="51.1199951171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сірка – 2,50; </w:t>
      </w:r>
    </w:p>
    <w:p w:rsidR="00000000" w:rsidDel="00000000" w:rsidP="00000000" w:rsidRDefault="00000000" w:rsidRPr="00000000" w14:paraId="00000032">
      <w:pPr>
        <w:widowControl w:val="0"/>
        <w:spacing w:after="0" w:before="51.11938476562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нижча теплота згоряння горючої маси мазуту дорівнює 40,40 МДж/кг; </w:t>
      </w:r>
    </w:p>
    <w:p w:rsidR="00000000" w:rsidDel="00000000" w:rsidP="00000000" w:rsidRDefault="00000000" w:rsidRPr="00000000" w14:paraId="00000033">
      <w:pPr>
        <w:widowControl w:val="0"/>
        <w:spacing w:after="0" w:before="51.1199951171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вологість робочої маси палива – 2,00 %; </w:t>
      </w:r>
    </w:p>
    <w:p w:rsidR="00000000" w:rsidDel="00000000" w:rsidP="00000000" w:rsidRDefault="00000000" w:rsidRPr="00000000" w14:paraId="00000034">
      <w:pPr>
        <w:widowControl w:val="0"/>
        <w:spacing w:after="0" w:before="51.1199951171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зольність сухої маси – 0,15 %; </w:t>
      </w:r>
    </w:p>
    <w:p w:rsidR="00000000" w:rsidDel="00000000" w:rsidP="00000000" w:rsidRDefault="00000000" w:rsidRPr="00000000" w14:paraId="00000035">
      <w:pPr>
        <w:widowControl w:val="0"/>
        <w:spacing w:after="0" w:before="70.31982421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вміст ванадію (V) – 333,3 мг/кг (= 2222</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rFonts w:ascii="Times New Roman" w:cs="Times New Roman" w:eastAsia="Times New Roman" w:hAnsi="Times New Roman"/>
          <w:sz w:val="28"/>
          <w:szCs w:val="28"/>
          <w:rtl w:val="0"/>
        </w:rPr>
        <w:t xml:space="preserve">0,15). </w:t>
      </w:r>
    </w:p>
    <w:p w:rsidR="00000000" w:rsidDel="00000000" w:rsidP="00000000" w:rsidRDefault="00000000" w:rsidRPr="00000000" w14:paraId="00000036">
      <w:pPr>
        <w:widowControl w:val="0"/>
        <w:spacing w:after="0" w:before="53.5205078125" w:line="275.8893013000488" w:lineRule="auto"/>
        <w:ind w:left="141.36001586914062" w:right="57.840576171875" w:firstLine="696.88003540039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даними таблиці А.3 (додаток А) об’ємний склад сухої маси природного газу  становить, %: </w:t>
      </w:r>
    </w:p>
    <w:p w:rsidR="00000000" w:rsidDel="00000000" w:rsidP="00000000" w:rsidRDefault="00000000" w:rsidRPr="00000000" w14:paraId="00000037">
      <w:pPr>
        <w:widowControl w:val="0"/>
        <w:spacing w:after="0" w:before="15.23071289062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метан (CH4) – 98,90; </w:t>
      </w:r>
    </w:p>
    <w:p w:rsidR="00000000" w:rsidDel="00000000" w:rsidP="00000000" w:rsidRDefault="00000000" w:rsidRPr="00000000" w14:paraId="00000038">
      <w:pPr>
        <w:widowControl w:val="0"/>
        <w:spacing w:after="0" w:before="40.316772460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етан (C2H6) – 0,12; </w:t>
      </w:r>
    </w:p>
    <w:p w:rsidR="00000000" w:rsidDel="00000000" w:rsidP="00000000" w:rsidRDefault="00000000" w:rsidRPr="00000000" w14:paraId="00000039">
      <w:pPr>
        <w:widowControl w:val="0"/>
        <w:spacing w:after="0" w:before="39.91699218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пропан (C3H8) – 0,011; </w:t>
      </w:r>
    </w:p>
    <w:p w:rsidR="00000000" w:rsidDel="00000000" w:rsidP="00000000" w:rsidRDefault="00000000" w:rsidRPr="00000000" w14:paraId="0000003A">
      <w:pPr>
        <w:widowControl w:val="0"/>
        <w:spacing w:after="0" w:before="39.91683959960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бутан (C4H10) – 0,01; </w:t>
      </w:r>
    </w:p>
    <w:p w:rsidR="00000000" w:rsidDel="00000000" w:rsidP="00000000" w:rsidRDefault="00000000" w:rsidRPr="00000000" w14:paraId="0000003B">
      <w:pPr>
        <w:widowControl w:val="0"/>
        <w:spacing w:after="0" w:before="39.91683959960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вуглекислий газ (CO2) – 0,06; </w:t>
      </w:r>
    </w:p>
    <w:p w:rsidR="00000000" w:rsidDel="00000000" w:rsidP="00000000" w:rsidRDefault="00000000" w:rsidRPr="00000000" w14:paraId="0000003C">
      <w:pPr>
        <w:widowControl w:val="0"/>
        <w:spacing w:after="0" w:before="39.91683959960937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азот (N2) – 0,90;</w:t>
      </w:r>
    </w:p>
    <w:p w:rsidR="00000000" w:rsidDel="00000000" w:rsidP="00000000" w:rsidRDefault="00000000" w:rsidRPr="00000000" w14:paraId="0000003D">
      <w:pPr>
        <w:widowControl w:val="0"/>
        <w:spacing w:after="0" w:before="33.9166259765625" w:line="240" w:lineRule="auto"/>
        <w:ind w:right="97.462158203125"/>
        <w:jc w:val="right"/>
        <w:rPr>
          <w:sz w:val="28"/>
          <w:szCs w:val="28"/>
        </w:rPr>
      </w:pPr>
      <w:r w:rsidDel="00000000" w:rsidR="00000000" w:rsidRPr="00000000">
        <w:rPr>
          <w:sz w:val="28"/>
          <w:szCs w:val="28"/>
          <w:rtl w:val="0"/>
        </w:rPr>
        <w:t xml:space="preserve">4 </w:t>
      </w:r>
    </w:p>
    <w:p w:rsidR="00000000" w:rsidDel="00000000" w:rsidP="00000000" w:rsidRDefault="00000000" w:rsidRPr="00000000" w14:paraId="0000003E">
      <w:pPr>
        <w:widowControl w:val="0"/>
        <w:spacing w:after="0"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об’ємна нижча теплота згоряння газу дорівнює 33,08 МДж/м</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widowControl w:val="0"/>
        <w:spacing w:after="0" w:before="18.316650390625" w:line="240" w:lineRule="auto"/>
        <w:ind w:left="842.5601196289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густина – 0,723 кг/м</w:t>
      </w:r>
      <w:r w:rsidDel="00000000" w:rsidR="00000000" w:rsidRPr="00000000">
        <w:rPr>
          <w:rFonts w:ascii="Times New Roman" w:cs="Times New Roman" w:eastAsia="Times New Roman" w:hAnsi="Times New Roman"/>
          <w:sz w:val="28"/>
          <w:szCs w:val="28"/>
          <w:vertAlign w:val="superscript"/>
          <w:rtl w:val="0"/>
        </w:rPr>
        <w:t xml:space="preserve">3 </w:t>
      </w:r>
      <w:r w:rsidDel="00000000" w:rsidR="00000000" w:rsidRPr="00000000">
        <w:rPr>
          <w:rFonts w:ascii="Times New Roman" w:cs="Times New Roman" w:eastAsia="Times New Roman" w:hAnsi="Times New Roman"/>
          <w:sz w:val="28"/>
          <w:szCs w:val="28"/>
          <w:rtl w:val="0"/>
        </w:rPr>
        <w:t xml:space="preserve">при нормальних умовах. </w:t>
      </w:r>
    </w:p>
    <w:p w:rsidR="00000000" w:rsidDel="00000000" w:rsidP="00000000" w:rsidRDefault="00000000" w:rsidRPr="00000000" w14:paraId="00000040">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Хід виконання:</w:t>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Варто почати з файлу MainActivity.kt: імпортую composable під назвою “Calculator” і відображаю його</w:t>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1500" cy="46482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815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файлі Calculator.kt після того як імпортував необхідні модулі, визначаю дві основні функції для подальших обчислень:</w:t>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8150" cy="41052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81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ініціалізую стейти для змінних, що використовуються в обчисленнях і додаю метод, який перевіряє, чи всі змінні не пусті</w:t>
      </w:r>
    </w:p>
    <w:p w:rsidR="00000000" w:rsidDel="00000000" w:rsidP="00000000" w:rsidRDefault="00000000" w:rsidRPr="00000000" w14:paraId="0000004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052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в Column визначаю всі поля для вводу</w:t>
      </w:r>
    </w:p>
    <w:p w:rsidR="00000000" w:rsidDel="00000000" w:rsidP="00000000" w:rsidRDefault="00000000" w:rsidRPr="00000000" w14:paraId="0000004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38625" cy="752475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3862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кнопку для початку обчислень і вивід результатів на екран</w:t>
      </w:r>
    </w:p>
    <w:p w:rsidR="00000000" w:rsidDel="00000000" w:rsidP="00000000" w:rsidRDefault="00000000" w:rsidRPr="00000000" w14:paraId="0000005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6083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52515"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в кінці снекбар для виводу помилок:</w:t>
      </w:r>
    </w:p>
    <w:p w:rsidR="00000000" w:rsidDel="00000000" w:rsidP="00000000" w:rsidRDefault="00000000" w:rsidRPr="00000000" w14:paraId="0000005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43325" cy="8667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433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кінці розмітка застосунку виглядає наступним чином:</w:t>
      </w:r>
    </w:p>
    <w:p w:rsidR="00000000" w:rsidDel="00000000" w:rsidP="00000000" w:rsidRDefault="00000000" w:rsidRPr="00000000" w14:paraId="0000005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76625" cy="74866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76625"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Результат виконання:</w:t>
      </w: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перевірки на контрольному прикладі:</w:t>
      </w:r>
    </w:p>
    <w:p w:rsidR="00000000" w:rsidDel="00000000" w:rsidP="00000000" w:rsidRDefault="00000000" w:rsidRPr="00000000" w14:paraId="0000005F">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Вугілля</w:t>
      </w:r>
    </w:p>
    <w:p w:rsidR="00000000" w:rsidDel="00000000" w:rsidP="00000000" w:rsidRDefault="00000000" w:rsidRPr="00000000" w14:paraId="0000006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29000" cy="745807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29000"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Мазут</w:t>
      </w:r>
    </w:p>
    <w:p w:rsidR="00000000" w:rsidDel="00000000" w:rsidP="00000000" w:rsidRDefault="00000000" w:rsidRPr="00000000" w14:paraId="0000006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19475" cy="752475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41947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Природний газ</w:t>
      </w:r>
    </w:p>
    <w:p w:rsidR="00000000" w:rsidDel="00000000" w:rsidP="00000000" w:rsidRDefault="00000000" w:rsidRPr="00000000" w14:paraId="00000067">
      <w:pPr>
        <w:widowControl w:val="0"/>
        <w:spacing w:after="0" w:before="41.519775390625" w:line="240" w:lineRule="auto"/>
        <w:ind w:left="0" w:firstLine="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Викиди твердих частинок для природного газу відсутні, тому показник емісії буде нульовий.</w:t>
      </w: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widowControl w:val="0"/>
        <w:spacing w:after="0" w:before="51.119384765625" w:line="275.8900737762451" w:lineRule="auto"/>
        <w:ind w:left="0" w:right="1330.0799560546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отримані у відповідності до варіанту заданих значень (табл. 2.4.)</w:t>
      </w:r>
    </w:p>
    <w:p w:rsidR="00000000" w:rsidDel="00000000" w:rsidP="00000000" w:rsidRDefault="00000000" w:rsidRPr="00000000" w14:paraId="0000006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Мій варіант - 14</w:t>
      </w:r>
    </w:p>
    <w:p w:rsidR="00000000" w:rsidDel="00000000" w:rsidP="00000000" w:rsidRDefault="00000000" w:rsidRPr="00000000" w14:paraId="0000006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183832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626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за варіантом 4:</w:t>
      </w:r>
    </w:p>
    <w:p w:rsidR="00000000" w:rsidDel="00000000" w:rsidP="00000000" w:rsidRDefault="00000000" w:rsidRPr="00000000" w14:paraId="0000006E">
      <w:pPr>
        <w:numPr>
          <w:ilvl w:val="0"/>
          <w:numId w:val="2"/>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Вугілля</w:t>
      </w:r>
    </w:p>
    <w:p w:rsidR="00000000" w:rsidDel="00000000" w:rsidP="00000000" w:rsidRDefault="00000000" w:rsidRPr="00000000" w14:paraId="0000006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29000" cy="756285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29000"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2"/>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Мазут</w:t>
      </w:r>
    </w:p>
    <w:p w:rsidR="00000000" w:rsidDel="00000000" w:rsidP="00000000" w:rsidRDefault="00000000" w:rsidRPr="00000000" w14:paraId="0000007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33750" cy="751522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3375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Природний газ</w:t>
      </w:r>
    </w:p>
    <w:p w:rsidR="00000000" w:rsidDel="00000000" w:rsidP="00000000" w:rsidRDefault="00000000" w:rsidRPr="00000000" w14:paraId="00000079">
      <w:pPr>
        <w:widowControl w:val="0"/>
        <w:spacing w:after="0" w:before="41.5197753906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Викиди твердих частинок для природного газу відсутні, тому показник емісії буде нульовий.</w:t>
      </w:r>
    </w:p>
    <w:p w:rsidR="00000000" w:rsidDel="00000000" w:rsidP="00000000" w:rsidRDefault="00000000" w:rsidRPr="00000000" w14:paraId="0000007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7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лабораторної роботи було створено мобільний додаток на платформі Android, що дозволяє розраховувати викиди шкідливих речовин при спалюванні вугілля, мазуту та природного газу. Було застосовано мову програмування Kotlin для розробки користувацького інтерфейсу, використовуючи такі компоненти, як TextField, Button, та Snackbar. У процесі роботи я ознайомився з методами обробки введених користувачем даних та їхньою валідацією. Особливу увагу приділено використанню функцій для проведення обчислень на основі наданих параметрів і виведення результатів на екран.</w:t>
      </w:r>
    </w:p>
    <w:p w:rsidR="00000000" w:rsidDel="00000000" w:rsidP="00000000" w:rsidRDefault="00000000" w:rsidRPr="00000000" w14:paraId="0000007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Отримані результати розрахунків підтвердили правильність застосованих формул і методів обчислення, зокрема, для кожного виду палива були розраховані викиди твердих частинок, що відповідають нормативам і умовам, описаним у завданні. Викиди для природного газу відсутні, що також співпадає з очікуваними результатами. Таким чином, дана лабораторна робота дозволила засвоїти основи розробки додатків на Android та методики роботи з числовими даними у середовищі Kotlin.</w:t>
      </w:r>
    </w:p>
    <w:p w:rsidR="00000000" w:rsidDel="00000000" w:rsidP="00000000" w:rsidRDefault="00000000" w:rsidRPr="00000000" w14:paraId="0000007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color w:val="000000"/>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