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0F065259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1</w:t>
      </w:r>
      <w:r w:rsidR="007549EC">
        <w:rPr>
          <w:sz w:val="48"/>
        </w:rPr>
        <w:t>1</w:t>
      </w:r>
      <w:r w:rsidRPr="00474359">
        <w:rPr>
          <w:sz w:val="48"/>
        </w:rPr>
        <w:t xml:space="preserve">: </w:t>
      </w:r>
      <w:r w:rsidR="007549EC">
        <w:rPr>
          <w:sz w:val="48"/>
        </w:rPr>
        <w:t>Coerência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5368E8CC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7549EC">
        <w:t>Neste relatório será comparado dois formatos para o mesmo áudio.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086A805A" w:rsidR="00DD17BE" w:rsidRPr="002866CD" w:rsidRDefault="007549EC" w:rsidP="007549EC">
      <w:pPr>
        <w:pStyle w:val="text"/>
      </w:pPr>
      <w:r>
        <w:t>A estimativa do quanto dois sinais são parecidos têm muitas aplicações em processamento</w:t>
      </w:r>
      <w:r>
        <w:t xml:space="preserve"> </w:t>
      </w:r>
      <w:r>
        <w:t>de sinais</w:t>
      </w:r>
      <w:r>
        <w:t>.</w:t>
      </w:r>
      <w:r w:rsidRPr="007549EC">
        <w:t xml:space="preserve"> </w:t>
      </w:r>
      <w:r>
        <w:t>Além disso, em muitos casos as saídas de sistemas possuem</w:t>
      </w:r>
      <w:r>
        <w:t xml:space="preserve"> </w:t>
      </w:r>
      <w:r>
        <w:t>uma relação sinal ruído muito baixa, fazendo com que seja difícil a detecção da resposta</w:t>
      </w:r>
      <w:r>
        <w:t xml:space="preserve"> </w:t>
      </w:r>
      <w:r>
        <w:t>a uma dada entrada</w:t>
      </w:r>
      <w:r>
        <w:t>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23B4A77F" w:rsidR="0025750C" w:rsidRDefault="002866CD" w:rsidP="002866CD">
      <w:pPr>
        <w:pStyle w:val="text"/>
      </w:pPr>
      <w:r>
        <w:t xml:space="preserve">O objetivo desta prática é </w:t>
      </w:r>
      <w:r w:rsidR="007549EC">
        <w:t>comparar as formatações .mp3 e .WAV.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1D74DE25" w:rsidR="00953F65" w:rsidRDefault="00953F65" w:rsidP="007549EC">
      <w:pPr>
        <w:pStyle w:val="text"/>
      </w:pPr>
      <w:r>
        <w:t xml:space="preserve">Em primeira instância foi solicitado a </w:t>
      </w:r>
      <w:r w:rsidR="007549EC">
        <w:t>coerência entre dois sinais.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2E791F6C" w14:textId="4A9A02BE" w:rsidR="00372D37" w:rsidRPr="00225809" w:rsidRDefault="007549EC" w:rsidP="00225809">
      <w:pPr>
        <w:pStyle w:val="text"/>
      </w:pPr>
      <w:r>
        <w:t>A figura 1 representa a os sinais gerados enquanto a figura 2 representa a coerência entre eles.</w:t>
      </w:r>
    </w:p>
    <w:p w14:paraId="71A37A2A" w14:textId="7DF0B71C" w:rsidR="0034575A" w:rsidRPr="00953F65" w:rsidRDefault="007549EC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6ADAFA0" wp14:editId="7F155CE3">
            <wp:extent cx="1866900" cy="156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499" cy="15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388CC832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7549EC">
        <w:rPr>
          <w:sz w:val="16"/>
          <w:szCs w:val="16"/>
        </w:rPr>
        <w:t>Funções geradas</w:t>
      </w:r>
    </w:p>
    <w:p w14:paraId="56C2D09D" w14:textId="0F7EE924" w:rsidR="007549EC" w:rsidRDefault="007549EC" w:rsidP="007549EC">
      <w:pPr>
        <w:rPr>
          <w:noProof/>
        </w:rPr>
      </w:pPr>
    </w:p>
    <w:p w14:paraId="12C2C2CD" w14:textId="62A7AF43" w:rsidR="007549EC" w:rsidRPr="00953F65" w:rsidRDefault="007549EC" w:rsidP="007549E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5FB7FF2" wp14:editId="0C0851BA">
            <wp:extent cx="1752600" cy="1488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220" cy="15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329" w14:textId="76533630" w:rsidR="007549EC" w:rsidRPr="00953F65" w:rsidRDefault="007549EC" w:rsidP="007549EC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Coerência 1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3D616BB3" w14:textId="47F2EB6C" w:rsidR="007549EC" w:rsidRDefault="007549EC" w:rsidP="0062657D">
      <w:pPr>
        <w:pStyle w:val="text"/>
      </w:pPr>
      <w:r>
        <w:t>Note a presença da coerência em 2Hz e 8Hz.</w:t>
      </w:r>
    </w:p>
    <w:p w14:paraId="4FC294B4" w14:textId="4FA6BC7E" w:rsidR="007549EC" w:rsidRPr="00225809" w:rsidRDefault="007549EC" w:rsidP="00225809">
      <w:pPr>
        <w:pStyle w:val="text"/>
      </w:pPr>
      <w:r>
        <w:t xml:space="preserve">Na segunda parte foi feita a coerência entre dois formatos de um mesmo áudio. Vide figura </w:t>
      </w:r>
      <w:r w:rsidR="00225809">
        <w:t>4</w:t>
      </w:r>
      <w:r>
        <w:t>.</w:t>
      </w:r>
      <w:r w:rsidR="00225809">
        <w:t xml:space="preserve"> Os sinais dos áudios estão expressos na figura 3. </w:t>
      </w:r>
    </w:p>
    <w:p w14:paraId="37CCDEF6" w14:textId="762EF267" w:rsidR="00225809" w:rsidRDefault="00225809" w:rsidP="0022580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21648EA" wp14:editId="275A757F">
            <wp:extent cx="1805137" cy="14859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648" cy="14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257" w14:textId="436945A3" w:rsidR="00225809" w:rsidRPr="00953F65" w:rsidRDefault="00225809" w:rsidP="00225809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.WAV e .mp3</w:t>
      </w:r>
    </w:p>
    <w:p w14:paraId="6389C80F" w14:textId="77777777" w:rsidR="00225809" w:rsidRPr="007549EC" w:rsidRDefault="00225809" w:rsidP="007549EC">
      <w:pPr>
        <w:pStyle w:val="text"/>
        <w:ind w:firstLine="0"/>
        <w:rPr>
          <w:sz w:val="16"/>
          <w:szCs w:val="16"/>
        </w:rPr>
      </w:pPr>
    </w:p>
    <w:p w14:paraId="0E3DC8DC" w14:textId="1FBF80E4" w:rsidR="007549EC" w:rsidRDefault="00225809" w:rsidP="007549E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0C06400" wp14:editId="22318DB2">
            <wp:extent cx="1805141" cy="1501140"/>
            <wp:effectExtent l="0" t="0" r="508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841" cy="1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BE7" w14:textId="0C58BD77" w:rsidR="007549EC" w:rsidRPr="00953F65" w:rsidRDefault="007549EC" w:rsidP="007549EC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 w:rsidR="00225809"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Coerência .WAV e .mp3</w:t>
      </w:r>
    </w:p>
    <w:p w14:paraId="16D50DFE" w14:textId="06869495" w:rsidR="007549EC" w:rsidRDefault="007549EC" w:rsidP="007549EC">
      <w:pPr>
        <w:pStyle w:val="text"/>
      </w:pPr>
    </w:p>
    <w:p w14:paraId="73FEBA4B" w14:textId="14EC7DE7" w:rsidR="007549EC" w:rsidRDefault="00225809" w:rsidP="007549EC">
      <w:pPr>
        <w:pStyle w:val="text"/>
      </w:pPr>
      <w:r>
        <w:t>Note que pra frequências maiores a coerência menor. Isso se dá pela perda devido a passagem para mp3.</w:t>
      </w:r>
    </w:p>
    <w:p w14:paraId="7ECF82DA" w14:textId="77777777" w:rsidR="00225809" w:rsidRPr="00D125D8" w:rsidRDefault="00225809" w:rsidP="007549EC">
      <w:pPr>
        <w:pStyle w:val="text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371A908B" w:rsidR="00C15F85" w:rsidRPr="00D125D8" w:rsidRDefault="0022661A" w:rsidP="0022661A">
      <w:pPr>
        <w:pStyle w:val="text"/>
      </w:pPr>
      <w:r>
        <w:t xml:space="preserve">Pode-se concluir por meio </w:t>
      </w:r>
      <w:r w:rsidR="00225809">
        <w:t>da comparação entre dois tipos de áudio através da coerência</w:t>
      </w:r>
      <w:r w:rsidR="004D4761">
        <w:t>, que apesar de pequenas as diferenças, elas existem para maiores frequências.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6481E5FE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4D4761">
        <w:t>1</w:t>
      </w:r>
      <w:r w:rsidR="00DD0BC3">
        <w:t>1_ELT.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5809"/>
    <w:rsid w:val="0022661A"/>
    <w:rsid w:val="0025750C"/>
    <w:rsid w:val="0026684B"/>
    <w:rsid w:val="002866CD"/>
    <w:rsid w:val="002E5329"/>
    <w:rsid w:val="0034575A"/>
    <w:rsid w:val="00372D37"/>
    <w:rsid w:val="0044466A"/>
    <w:rsid w:val="004D4761"/>
    <w:rsid w:val="004F452A"/>
    <w:rsid w:val="00594708"/>
    <w:rsid w:val="005E7039"/>
    <w:rsid w:val="0062657D"/>
    <w:rsid w:val="006830A2"/>
    <w:rsid w:val="00707E05"/>
    <w:rsid w:val="007549EC"/>
    <w:rsid w:val="007560CE"/>
    <w:rsid w:val="007A47D1"/>
    <w:rsid w:val="008B410D"/>
    <w:rsid w:val="00953F65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1531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2021-10-24T19:50:00Z</dcterms:modified>
</cp:coreProperties>
</file>