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济南市信用评级报告(区域部分)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济南经济总量列山东省第二位，人均GDP约14.78万元、人均经济实力居全省前列，经济增速由6.06%回落至5.40%、有所放缓；固定资产投资最新增速转负（-12.90%），经济动能仍有待修复。【待补充：济南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济南市2023、2024、2025年地区生产总值分别为13,005.84亿元、13,527.70亿元、14,210.00亿元，同比增长6.06%、5.40%、5.40%。截至2025年末，全市常住人口961.60万人，人均GDP约14.78万元（按当年GDP与常住人口估算）。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产业结构方面，2025年济南市三次产业结构为3.1:32.4:64.5。【待补充：支柱产业、主要龙头企业、对外贸易等定性描述（数据库未覆盖）】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2023、2024、2025年固定资产投资增速分别为2.10%、0.40%、-12.90%，2025年社会消费品零售总额5,547.90亿元，进出口总额405.72亿美元。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济南市2025年GDP总量14,210.00亿元、列全省第二位，一般公共预算收入1,093.35亿元、列全省第二位。整体来看，济南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济南市财政体量在山东省位居前列，税收占比74.34%、税收质量较好，但政府性基金收入总体平稳；2025年末宽口径债务率601.14%、处于偏高水平，已显著高于公认的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济南市一般公共预算收入分别为1,060.82亿元、1,083.05亿元、1,093.35亿元，其中税收收入797.93亿元、784.18亿元、812.82亿元，税收占比维持在75.22%、72.40%、74.34%；一般公共预算支出1,365.29亿元、1,397.15亿元、1,407.49亿元，财政自给率77.70%、77.52%、77.68%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政府性基金收入方面，2023、2024、2025年分别为520.76亿元、592.00亿元、567.26亿元，政府性基金收入总体平稳，反映地方综合财力对房地产周期的敞口。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图表：2023-2025年济南市财政收入情况(单位:亿元、%)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1,083.05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797.93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784.18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1,397.15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567.26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资料来源:济南市财政决算、企业预警通,风控信评部整理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济南市经营性用地成交价分别为928.91亿元、406.07亿元、349.47亿元、419.67亿元、266.73亿元，2025年较2021年下降71.29%；同期平均溢价率为3.32%、1.51%、2.51%、1.45%、4.35%；成交楼面均价为2,132元/㎡。2026年1-4月，济南市经营性用地累计成交55宗、规划建面280.73万㎡、成交价23.98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图表:2021-2025年济南市土地出让情况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5,166.15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928.91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1,969.03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406.07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349.47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1,955.06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419.67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1,250.03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2,132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266.73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280.73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23.98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济南市商品住宅成交面积由1,402.83万㎡变动至466.85万㎡、累计下降66.7%；新房均价2025年为13,712元/㎡、较2023年高点(14,887元/㎡)累计下跌7.89%；2025年去化周期27.77个月。据中指冰山指数(最低挂牌价口径)，济南二手房挂牌价较2018年7月高点累计下跌42.11%，2023年累计跌幅-5.04%、2024年累计跌幅-10.22%、2025年累计跌幅-13.78%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济南市地方政府债务余额分别为3,180.43亿元、3,770.56亿元、4,429.54亿元，2025年末债务限额4,584.57亿元，债务余额控制在限额以内；城投有息债务2025年末估算余额10,357.99亿元。债务率指标看，2025年末政府债务率180.07%、城投债务率421.07%、宽口径债务率601.14%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济南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