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济宁市信用评级报告(区域部分)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济宁经济总量列山东省第六位，人均GDP约7.54万元、人均经济实力在省内相对靠后，经济增速由6.56%回落至5.80%、有所放缓；固定资产投资最新增速0.30%，经济运行总体平稳。【待补充：济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济宁市2023、2024、2025年地区生产总值分别为5,642.37亿元、5,844.00亿元、6,128.10亿元，同比增长6.56%、5.60%、5.80%。截至2025年末，全市常住人口812.93万人，人均GDP约7.54万元（按当年GDP与常住人口估算）。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产业结构方面，2025年济宁市三次产业结构为10.6:36.2:53.2。【待补充：支柱产业、主要龙头企业、对外贸易等定性描述（数据库未覆盖）】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2023、2024、2025年固定资产投资增速分别为7.10%、3.30%、0.30%，2025年社会消费品零售总额3,233.60亿元，进出口总额178.41亿美元。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济宁市2025年GDP总量6,128.10亿元、列全省第六位，一般公共预算收入502.72亿元、列全省第五位。整体来看，济宁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济宁市财政体量在山东省处于中游，税收占比60.86%、税收质量较好，但政府性基金收入总体平稳；2025年末宽口径债务率547.58%、处于偏高水平，已显著高于公认的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济宁市一般公共预算收入分别为475.01亿元、496.26亿元、502.72亿元，其中税收收入323.63亿元、311.21亿元、305.94亿元，税收占比维持在68.13%、62.71%、60.86%；一般公共预算支出782.79亿元、800.71亿元、843.40亿元，财政自给率60.68%、61.98%、59.61%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政府性基金收入方面，2023、2024、2025年分别为417.59亿元、434.95亿元、387.19亿元，政府性基金收入总体平稳，反映地方综合财力对房地产周期的敞口。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图表：2023-2025年济宁市财政收入情况(单位:亿元、%)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417.59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387.19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资料来源:济宁市财政决算、企业预警通,风控信评部整理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土地市场方面，【待补充:济宁市土地出让与房地产销售数据（土地市场数据库未覆盖该市）】。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济宁市地方政府债务余额分别为1,714.14亿元、2,016.26亿元、2,363.10亿元，2025年末债务限额2,453.30亿元，债务余额控制在限额以内；城投有息债务2025年末估算余额2,612.29亿元。债务率指标看，2025年末政府债务率260.08%、城投债务率287.50%、宽口径债务率547.58%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济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