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淄博市信用评级报告(区域部分)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淄博经济总量列山东省第七位，人均GDP约10.80万元、人均经济实力居全省中游，经济增速维持在5.60%左右、总体平稳；固定资产投资最新增速转负（-12.60%），经济动能仍有待修复。【待补充：淄博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淄博市2023、2024、2025年地区生产总值分别为4,677.97亿元、4,867.19亿元、5,088.89亿元，同比增长5.59%、5.40%、5.60%。截至2025年末，全市常住人口460.64万人，人均GDP约10.80万元。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产业结构方面，2025年淄博市三次产业结构为4:45.6:50.4。【待补充：支柱产业、主要龙头企业、对外贸易等定性描述（数据库未覆盖）】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2023、2024、2025年固定资产投资增速分别为5.90%、4.50%、-12.60%，2025年社会消费品零售总额1,712.60亿元，进出口总额141.51亿美元。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淄博市2025年GDP总量5,088.89亿元、列全省第七位，一般公共预算收入419.73亿元、列全省第七位。整体来看，淄博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淄博市财政体量在山东省处于中游，税收占比53.10%、税收占比处于一般水平，但政府性基金收入较2023年累计增长11%；2025年末宽口径债务率432.86%、处于偏高水平，已显著高于公认的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淄博市一般公共预算收入分别为395.30亿元、411.44亿元、419.73亿元，其中税收收入254.41亿元、227.18亿元、222.86亿元，税收占比维持在64.36%、55.22%、53.10%；一般公共预算支出550.33亿元、577.56亿元、583.28亿元，财政自给率71.83%、71.24%、71.96%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政府性基金收入方面，2023、2024、2025年分别为213.67亿元、264.22亿元、238.07亿元，政府性基金收入较2023年累计增长11%，反映地方综合财力对房地产周期的敞口。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图表：2023-2025年淄博市财政收入情况(单位:亿元、%)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411.44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222.86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577.56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583.28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-9.90%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资料来源:淄博市财政决算、企业预警通,风控信评部整理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土地市场方面，【待补充:淄博市土地出让与房地产销售数据（土地市场数据库未覆盖该市）】。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淄博市地方政府债务余额分别为1,226.00亿元、1,427.12亿元、1,673.02亿元，2025年末债务限额1,748.58亿元，债务余额控制在限额以内；城投有息债务2025年末估算余额2,548.50亿元。债务率指标看，2025年末政府债务率171.55%、城投债务率261.32%、宽口径债务率432.86%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淄博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