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潍坊市信用评级报告(区域部分)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潍坊经济总量列山东省第四位，人均GDP约9.20万元、人均经济实力居全省中游，经济增速由5.15%回升至5.50%、动能边际改善；固定资产投资最新增速转负（-4.50%），经济动能仍有待修复。【待补充：潍坊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潍坊市2023、2024、2025年地区生产总值分别为7,782.95亿元、8,192.15亿元、8,587.36亿元，同比增长5.15%、5.80%、5.50%。截至2025年末，全市常住人口927.12万人，人均GDP约9.20万元。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产业结构方面，2025年潍坊市三次产业结构为8.5:41.2:50.3。【待补充：支柱产业、主要龙头企业、对外贸易等定性描述（数据库未覆盖）】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2023、2024、2025年固定资产投资增速分别为0.80%、4.10%、-4.50%，2025年社会消费品零售总额3,584.90亿元，进出口总额531.66亿美元。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潍坊市2025年GDP总量8,587.36亿元、列全省第四位，一般公共预算收入630.52亿元、列全省第四位。整体来看，潍坊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潍坊市财政体量在山东省处于中游，税收占比60.87%、税收质量较好，但政府性基金收入较2023年累计下降16%、土地财政贡献度弱化；2025年末宽口径债务率458.17%、处于偏高水平，已显著高于公认的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潍坊市一般公共预算收入分别为608.32亿元、619.56亿元、630.52亿元，其中税收收入394.11亿元、377.51亿元、383.78亿元，税收占比维持在64.79%、60.93%、60.87%；一般公共预算支出889.38亿元、901.95亿元、909.02亿元，财政自给率68.40%、68.69%、69.36%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政府性基金收入方面，2023、2024、2025年分别为490.91亿元、577.03亿元、413.14亿元，政府性基金收入较2023年累计下降16%、土地财政贡献度弱化，反映地方综合财力对房地产周期的敞口。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图表：2023-2025年潍坊市财政收入情况(单位:亿元、%)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394.11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909.02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413.14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-28.40%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资料来源:潍坊市财政决算、企业预警通,风控信评部整理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土地市场方面，【待补充:潍坊市土地出让与房地产销售数据（土地市场数据库未覆盖该市）】。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潍坊市地方政府债务余额分别为2,359.33亿元、2,854.40亿元、3,358.33亿元，2025年末债务限额3,586.98亿元，债务余额控制在限额以内；城投有息债务2025年末估算余额3,591.78亿元。债务率指标看，2025年末政府债务率221.39%、城投债务率236.78%、宽口径债务率458.17%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潍坊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