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烟台市信用评级报告(区域部分)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烟台经济总量列山东省第三位，人均GDP约16.21万元、人均经济实力居全省前列，经济增速由6.56%回落至6.10%、有所放缓；固定资产投资最新增速转负（-18.80%），经济动能仍有待修复。【待补充：烟台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烟台市2023、2024、2025年地区生产总值分别为10,266.14亿元、10,762.87亿元、11,350.98亿元，同比增长6.56%、5.90%、6.10%。截至2025年末，全市常住人口700.05万人，人均GDP约16.21万元（按当年GDP与常住人口估算）。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产业结构方面，2025年烟台市三次产业结构为6.2:42.4:51.4。【待补充：支柱产业、主要龙头企业、对外贸易等定性描述（数据库未覆盖）】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2023、2024、2025年固定资产投资增速分别为5.80%、3.20%、-18.80%，2025年社会消费品零售总额4,068.85亿元，进出口总额753.10亿美元。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青岛市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17,560.67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2.9:33.5:63.6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1051.55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3.1:32.4:64.5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烟台市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11,350.98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6.2:42.4:51.4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潍坊市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8,587.36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8.5:41.2:50.3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6,862.20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济宁市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6,128.10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10.6:36.2:53.2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812.93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淄博市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5,088.89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4:45.6:50.4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菏泽市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4,502.73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4.4:59:36.6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4,214.61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9.4:42.5:48.1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542.66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威海市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3,896.09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9.1:36.1:54.8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291.16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9.8:40.4:49.8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523.18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滨州市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9:44.9:46.1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聊城市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13.3:40.6:46.1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日照市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291.05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枣庄市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8.4:37.6:54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烟台市2025年GDP总量11,350.98亿元、列全省第三位，一般公共预算收入700.08亿元、列全省第三位。整体来看，烟台市经济基本面在山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烟台市财政体量在山东省位居前列，税收占比58.53%、税收占比处于一般水平，但政府性基金收入较2023年累计下降11%、土地财政贡献度弱化；2025年末宽口径债务率280.96%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烟台市一般公共预算收入分别为673.87亿元、698.81亿元、700.08亿元，其中税收收入472.22亿元、428.05亿元、409.79亿元，税收占比维持在70.08%、61.25%、58.53%；一般公共预算支出952.73亿元、1,004.99亿元、1,051.93亿元，财政自给率70.73%、69.53%、66.55%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政府性基金收入方面，2023、2024、2025年分别为278.21亿元、349.40亿元、247.60亿元，政府性基金收入较2023年累计下降11%、土地财政贡献度弱化，反映地方综合财力对房地产周期的敞口。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图表：2023-2025年烟台市财政收入情况(单位:亿元、%)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673.87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698.81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-29.14%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资料来源:烟台市财政决算、企业预警通,风控信评部整理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土地市场方面，【待补充:烟台市土地出让与房地产销售数据（土地市场数据库未覆盖该市）】。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烟台市地方政府债务余额分别为2,099.10亿元、2,511.71亿元、2,940.65亿元，2025年末债务限额3,022.28亿元，债务余额控制在限额以内；城投有息债务2025年末估算余额1,649.88亿元。债务率指标看，2025年末政府债务率179.98%、城投债务率100.98%、宽口径债务率280.96%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烟台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