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聊城市信用评级报告(区域部分)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聊城经济总量列山东省第14位，人均GDP约5.74万元、人均经济实力在省内相对靠后，经济增速由6.23%回落至5.60%、有所放缓；固定资产投资最新增速0.30%，经济运行总体平稳。【待补充：聊城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聊城市2023、2024、2025年地区生产总值分别为3,044.14亿元、3,161.63亿元、3,304.15亿元，同比增长6.23%、5.60%、5.60%。截至2025年末，全市常住人口575.86万人，人均GDP约5.74万元（按当年GDP与常住人口估算）。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产业结构方面，2025年聊城市三次产业结构为13.3:40.6:46.1。【待补充：支柱产业、主要龙头企业、对外贸易等定性描述（数据库未覆盖）】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2023、2024、2025年固定资产投资增速分别为7.30%、5.10%、0.30%，2025年社会消费品零售总额1,388.01亿元，进出口总额101.93亿美元。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聊城市2025年GDP总量3,304.15亿元、列全省第14位，一般公共预算收入264.80亿元、列全省第12位。整体来看，聊城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聊城市财政体量在山东省处于中游，税收占比59.65%、税收占比处于一般水平，但政府性基金收入较2023年累计下降23%、土地财政贡献度弱化；2025年末宽口径债务率239.01%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聊城市一般公共预算收入分别为244.62亿元、257.10亿元、264.80亿元，其中税收收入154.01亿元、152.15亿元、157.96亿元，税收占比维持在62.96%、59.18%、59.65%；一般公共预算支出535.67亿元、576.54亿元、554.92亿元，财政自给率45.67%、44.59%、47.72%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政府性基金收入方面，2023、2024、2025年分别为227.53亿元、187.03亿元、174.78亿元，政府性基金收入较2023年累计下降23%、土地财政贡献度弱化，反映地方综合财力对房地产周期的敞口。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图表：2023-2025年聊城市财政收入情况(单位:亿元、%)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157.96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554.92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-6.55%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资料来源:聊城市财政决算、企业预警通,风控信评部整理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土地市场方面，【待补充:聊城市土地出让与房地产销售数据（土地市场数据库未覆盖该市）】。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聊城市地方政府债务余额分别为1,132.91亿元、1,359.44亿元、1,620.42亿元，2025年末债务限额1,688.67亿元，债务余额控制在限额以内；城投有息债务2025年末估算余额365.37亿元。债务率指标看，2025年末政府债务率195.03%、城投债务率43.98%、宽口径债务率239.01%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聊城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