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菏泽市信用评级报告(区域部分)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菏泽经济总量列山东省第八位，人均GDP约—万元、人均经济实力居省内中游，经济增速由6.84%回落至5.00%、有所放缓；固定资产投资最新增速6.30%，经济运行总体平稳。【待补充：菏泽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菏泽市2023、2024、2025年地区生产总值分别为4,587.84亿元、4,760.76亿元、4,937.40亿元，同比增长6.84%、5.80%、5.00%。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产业结构方面，2025年菏泽市三次产业结构为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2023、2024年固定资产投资增速分别为7.90%、6.30%，进出口总额88.16亿美元。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菏泽市2025年GDP总量4,937.40亿元、列全省第八位，一般公共预算收入333.37亿元、列全省第八位。整体来看，菏泽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菏泽市财政体量在山东省处于中游，税收占比58.17%、税收占比处于一般水平，但政府性基金收入较2023年累计下降42%、土地财政贡献度弱化；2025年末宽口径债务率262.90%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菏泽市一般公共预算收入分别为316.51亿元、329.18亿元、333.37亿元，其中税收收入205.00亿元、197.55亿元、193.93亿元，税收占比维持在64.77%、60.01%、58.17%；一般公共预算支出734.99亿元、710.88亿元、759.26亿元，财政自给率43.06%、46.31%、43.91%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政府性基金收入方面，2023、2024、2025年分别为360.33亿元、287.28亿元、208.35亿元，政府性基金收入较2023年累计下降42%、土地财政贡献度弱化，反映地方综合财力对房地产周期的敞口。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图表：2023-2025年菏泽市财政收入情况(单位:亿元、%)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759.26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287.28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-27.47%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资料来源:菏泽市财政决算、企业预警通,风控信评部整理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土地市场方面，【待补充:菏泽市土地出让与房地产销售数据（土地市场数据库未覆盖该市）】。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菏泽市地方政府债务余额分别为1,500.93亿元、1,808.12亿元、2,153.17亿元，2025年末债务限额2,288.79亿元，债务余额控制在限额以内；城投有息债务2025年末估算余额1,023.41亿元。债务率指标看，2025年末政府债务率178.20%、城投债务率84.70%、宽口径债务率262.90%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菏泽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