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青岛市信用评级报告(区域部分)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青岛经济总量在山东省稳居第一，人均GDP约16.70万元、人均经济实力居全省前列，经济增速由5.88%回落至5.40%、有所放缓；固定资产投资最新增速转负（-18.70%），经济动能仍有待修复。【待补充：青岛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青岛市2023、2024、2025年地区生产总值分别为15,973.16亿元、16,719.39亿元、17,560.67亿元，同比增长5.88%、5.70%、5.40%。截至2025年末，全市常住人口1051.55万人，人均GDP约16.70万元（按当年GDP与常住人口估算）。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产业结构方面，2025年青岛市三次产业结构为2.9:33.5:63.6。【待补充：支柱产业、主要龙头企业、对外贸易等定性描述（数据库未覆盖）】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2023、2024、2025年固定资产投资增速分别为5.00%、0.80%、-18.70%，2025年社会消费品零售总额6,960.70亿元，进出口总额1,278.04亿美元。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青岛市2025年GDP总量17,560.67亿元、列全省第一位，一般公共预算收入1,340.72亿元、列全省第一位。整体来看，青岛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青岛市财政体量在山东省稳居第一，税收占比70.90%、税收质量较好，但政府性基金收入较2023年累计下降39%、土地财政贡献度弱化；2025年末宽口径债务率1244.37%、处于偏高水平，已显著高于公认的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青岛市一般公共预算收入分别为1,337.86亿元、1,339.26亿元、1,340.72亿元，其中税收收入1,006.10亿元、937.77亿元、950.51亿元，税收占比维持在75.20%、70.02%、70.90%；一般公共预算支出1,718.80亿元、1,720.42亿元、1,718.52亿元，财政自给率77.84%、77.84%、78.02%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政府性基金收入方面，2023、2024、2025年分别为530.83亿元、299.02亿元、324.65亿元，政府性基金收入较2023年累计下降39%、土地财政贡献度弱化，反映地方综合财力对房地产周期的敞口。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图表：2023-2025年青岛市财政收入情况(单位:亿元、%)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1,339.26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950.51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1,718.52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299.02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资料来源:青岛市财政决算、企业预警通,风控信评部整理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青岛市经营性用地成交价分别为798.27亿元、612.06亿元、355.19亿元、181.42亿元、186.59亿元，2025年较2021年下降76.63%；同期平均溢价率为0.64%、1.74%、1.44%、3.85%、1.47%；成交楼面均价由2,087元/㎡降至1,484元/㎡、累计下降28.89%。2026年1-4月，青岛市经营性用地累计成交61宗、规划建面219.74万㎡、成交价37.87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图表:2021-2025年青岛市土地出让情况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3,824.26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798.27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2,719.99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2,257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612.06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1,390.40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355.19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1,300.25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181.42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1,256.29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186.59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37.87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青岛市商品住宅成交面积由1,495.09万㎡变动至529.34万㎡、累计下降64.6%；新房均价2025年为14,582元/㎡、较2022年高点(15,623元/㎡)累计下跌6.66%；2025年去化周期41.84个月。据中指冰山指数(最低挂牌价口径)，青岛二手房挂牌价较2018年7月高点累计下跌58.72%，2023年累计跌幅-8.48%、2024年累计跌幅-12.35%、2025年累计跌幅-15.01%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青岛市地方政府债务余额分别为3,620.01亿元、4,382.57亿元、5,261.12亿元，2025年末债务限额5,454.95亿元，债务余额控制在限额以内；城投有息债务2025年末估算余额15,687.14亿元。债务率指标看，2025年末政府债务率312.52%、城投债务率931.85%、宽口径债务率1244.37%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青岛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