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临汾市信用评级报告(区域部分)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汾经济总量列山西省第四位，人均GDP约6.54万元、人均经济实力在省内相对靠后，经济增速由7.80%回落至7.00%、有所放缓；固定资产投资最新增速10.50%，经济运行总体平稳。【待补充：临汾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临汾市2023、2024、2025年地区生产总值分别为2,399.20亿元、2,425.10亿元、2,513.80亿元，同比增长7.80%、6.20%、7.00%。截至2025年末，全市常住人口383.14万人，人均GDP约6.54万元。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产业结构方面，2025年临汾市三次产业结构为7.9:40.9:51.2。【待补充：支柱产业、主要龙头企业、对外贸易等定性描述（数据库未覆盖）】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2023、2024、2025年固定资产投资增速分别为4.30%、12.20%、10.50%，2025年社会消费品零售总额1,005.00亿元，进出口总额4.25亿美元。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临汾市2025年GDP总量2,513.80亿元、列全省第四位，一般公共预算收入162.79亿元、列全省第七位。整体来看，临汾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临汾市财政体量在山西省处于中游，税收占比69.13%、税收质量较好，但政府性基金收入总体平稳；2025年末宽口径债务率127.03%、处于可控水平，整体处于可控水平。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临汾市一般公共预算收入分别为198.89亿元、187.65亿元、162.79亿元，其中税收收入144.07亿元、126.19亿元、112.53亿元，税收占比维持在72.44%、67.24%、69.13%；一般公共预算支出544.11亿元、573.87亿元、542.94亿元，财政自给率36.55%、32.70%、29.98%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政府性基金收入方面，2023、2024、2025年分别为46.41亿元、46.61亿元、49.41亿元，政府性基金收入总体平稳，反映地方综合财力对房地产周期的敞口。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图表：2023-2025年临汾市财政收入情况(单位:亿元、%)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资料来源:临汾市财政决算、企业预警通,风控信评部整理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土地市场方面，【待补充:临汾市土地出让与房地产销售数据（土地市场数据库未覆盖该市）】。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临汾市地方政府债务余额分别为553.02亿元、642.15亿元、772.34亿元，2025年末债务限额782.20亿元，债务余额控制在限额以内；城投有息债务2025年末估算余额175.73亿元。债务率指标看，2025年末政府债务率103.49%、城投债务率23.55%、宽口径债务率127.03%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临汾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