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吕梁市信用评级报告(区域部分)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吕梁经济总量列山西省第二位，人均GDP约7.81万元、人均经济实力居全省中游，经济增速由4.30%回落至3.40%、有所放缓；固定资产投资最新增速1.00%，经济运行总体平稳。【待补充：吕梁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吕梁市2023、2024、2025年地区生产总值分别为2,366.08亿元、2,643.24亿元、2,575.02亿元，同比增长4.30%、1.30%、3.40%。截至2025年末，全市常住人口328.08万人，人均GDP约7.81万元。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产业结构方面，2025年吕梁市三次产业结构为4.24:54.52:41.24。【待补充：支柱产业、主要龙头企业、对外贸易等定性描述（数据库未覆盖）】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2023、2024、2025年固定资产投资增速分别为2.40%、7.00%、1.00%，2025年社会消费品零售总额439.69亿元，进出口总额7.31亿美元。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太原市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5,382.45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0.9:28:71.1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443.07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552.61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吕梁市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2,575.02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4.24:54.52:41.24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328.08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长治市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307.50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7.9:40.9:51.2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383.14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2,462.60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6.1:39.7:54.2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329.45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3.2:55.4:41.4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2,248.00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16.4:32.3:51.3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463.23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6.6:31.4:62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304.43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忻州市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8.8:37.3:53.9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朔州市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7.5:38.4:54.1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2.1:41.1:56.8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128.02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吕梁市2025年GDP总量2,575.02亿元、列全省第二位，一般公共预算收入278.26亿元、列全省第二位。整体来看，吕梁市经济基本面在山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吕梁市财政体量在山西省位居前列，税收占比72.40%、税收质量较好，但政府性基金收入较2023年累计下降20%、土地财政贡献度弱化；2025年末宽口径债务率90.50%、处于可控水平，整体处于可控水平。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吕梁市一般公共预算收入分别为331.60亿元、332.24亿元、278.26亿元，其中税收收入257.65亿元、235.10亿元、201.46亿元，税收占比维持在77.70%、70.76%、72.40%；一般公共预算支出622.98亿元、623.32亿元、585.48亿元，财政自给率53.23%、53.30%、47.53%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政府性基金收入方面，2023、2024、2025年分别为27.13亿元、33.94亿元、21.62亿元，政府性基金收入较2023年累计下降20%、土地财政贡献度弱化，反映地方综合财力对房地产周期的敞口。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图表：2023-2025年吕梁市财政收入情况(单位:亿元、%)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-16.25%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-14.31%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623.32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-6.07%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-36.30%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资料来源:吕梁市财政决算、企业预警通,风控信评部整理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土地市场方面，【待补充:吕梁市土地出让与房地产销售数据（土地市场数据库未覆盖该市）】。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吕梁市地方政府债务余额分别为500.27亿元、559.66亿元、642.01亿元，2025年末债务限额655.13亿元，债务余额控制在限额以内；城投有息债务2025年末估算余额—亿元。债务率指标看，2025年末政府债务率90.50%、城投债务率—、宽口径债务率90.50%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吕梁市财政基本盘较为扎实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