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大同市信用评级报告(区域部分)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同经济总量列山西省第八位，人均GDP约5.96万元、人均经济实力在省内相对靠后，经济增速由5.10%回落至3.20%、有所放缓；固定资产投资最新增速3.30%，经济运行总体平稳。【待补充：大同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大同市2023、2024、2025年地区生产总值分别为1,824.60亿元、1,792.50亿元、1,815.00亿元，同比增长5.10%、2.50%、3.20%。截至2025年末，全市常住人口304.43万人，人均GDP约5.96万元。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产业结构方面，2025年大同市三次产业结构为6.6:31.4:62。【待补充：支柱产业、主要龙头企业、对外贸易等定性描述（数据库未覆盖）】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2023、2024、2025年固定资产投资增速分别为-9.10%、0.80%、3.30%，2025年社会消费品零售总额575.80亿元，进出口总额6.62亿美元。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大同市2025年GDP总量1,815.00亿元、列全省第八位，一般公共预算收入175.39亿元、列全省第六位。整体来看，大同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大同市财政体量在山西省处于中游，税收占比60.68%、税收质量较好，但政府性基金收入较2023年累计增长22%；2025年末宽口径债务率177.09%、处于可控水平，整体处于可控水平。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大同市一般公共预算收入分别为194.05亿元、188.09亿元、175.39亿元，其中税收收入128.27亿元、117.63亿元、106.42亿元，税收占比维持在66.10%、62.54%、60.68%；一般公共预算支出464.60亿元、477.47亿元、469.28亿元，财政自给率41.77%、39.39%、37.37%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政府性基金收入方面，2023、2024、2025年分别为36.60亿元、34.35亿元、44.74亿元，政府性基金收入较2023年累计增长22%，反映地方综合财力对房地产周期的敞口。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图表：2023-2025年大同市财政收入情况(单位:亿元、%)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469.28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30.25%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资料来源:大同市财政决算、企业预警通,风控信评部整理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土地市场方面，【待补充:大同市土地出让与房地产销售数据（土地市场数据库未覆盖该市）】。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大同市地方政府债务余额分别为560.28亿元、680.43亿元、747.90亿元，2025年末债务限额755.82亿元，债务余额控制在限额以内；城投有息债务2025年末估算余额153.42亿元。债务率指标看，2025年末政府债务率146.94%、城投债务率30.14%、宽口径债务率177.09%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大同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