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太原市信用评级报告(区域部分)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太原经济总量在山西省稳居第一，人均GDP约9.75万元、人均经济实力居全省前列，经济增速由3.70%回落至1.30%、有所放缓；固定资产投资连续负增长（最新-18.00%），经济动能仍有待修复。【待补充：太原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太原市2023、2024、2025年地区生产总值分别为5,494.84亿元、5,418.87亿元、5,382.45亿元，同比增长3.70%、1.20%、1.30%。截至2025年末，全市常住人口552.61万人，人均GDP约9.75万元。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产业结构方面，2025年太原市三次产业结构为0.9:28:71.1。【待补充：支柱产业、主要龙头企业、对外贸易等定性描述（数据库未覆盖）】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2023、2024、2025年固定资产投资增速分别为-18.30%、0.50%、-18.00%，2025年社会消费品零售总额2,365.53亿元，进出口总额124.85亿美元。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太原市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5,382.45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0.9:28:71.1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443.07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552.61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吕梁市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2,575.02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4.24:54.52:41.24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328.08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长治市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307.50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2,513.80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7.9:40.9:51.2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162.79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383.14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晋中市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2,462.60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6.1:39.7:54.2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329.45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晋城市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3.2:55.4:41.4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2,248.00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16.4:32.3:51.3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463.23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1,815.00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6.6:31.4:62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304.43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忻州市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1,330.40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8.8:37.3:53.9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256.50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朔州市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1,303.70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7.5:38.4:54.1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156.10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2.1:41.1:56.8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128.02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太原市2025年GDP总量5,382.45亿元、列全省第一位，一般公共预算收入443.07亿元、列全省第一位。整体来看，太原市经济基本面在山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太原市财政体量在山西省稳居第一，税收占比72.99%、税收质量较好，但政府性基金收入较2023年累计下降55%、土地财政贡献度弱化；2025年末宽口径债务率277.86%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太原市一般公共预算收入分别为449.24亿元、440.26亿元、443.07亿元，其中税收收入336.34亿元、308.94亿元、323.38亿元，税收占比维持在74.87%、70.17%、72.99%；一般公共预算支出777.26亿元、744.38亿元、709.86亿元，财政自给率57.80%、59.15%、62.42%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政府性基金收入方面，2023、2024、2025年分别为196.22亿元、154.49亿元、87.51亿元，政府性基金收入较2023年累计下降55%、土地财政贡献度弱化，反映地方综合财力对房地产周期的敞口。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图表：2023-2025年太原市财政收入情况(单位:亿元、%)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449.24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440.26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443.07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336.34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308.94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72.99%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777.26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709.86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-4.64%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196.22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-21.27%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-43.36%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资料来源:太原市财政决算、企业预警通,风控信评部整理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太原市经营性用地成交价分别为193.66亿元、145.56亿元、175.23亿元、131.70亿元、76.30亿元，2025年较2021年下降60.60%；同期平均溢价率为13.83%、23.30%、0.88%、0.29%、1.56%；成交楼面均价由986元/㎡降至921元/㎡、累计下降6.59%。2026年1-4月，太原市经营性用地累计成交50宗、规划建面245.27万㎡、成交价48.38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图表:2021-2025年太原市土地出让情况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1,964.21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13.83%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193.66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1,316.59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1,106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23.30%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145.56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1,779.23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175.23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918.46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1,434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0.29%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131.70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828.46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1.56%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76.30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245.27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48.38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从房地产销售看，新房均价2025年为11,454元/㎡。据中指冰山指数(最低挂牌价口径)，太原二手房挂牌价较2019年4月高点累计下跌32.80%，2023年累计跌幅-4.40%、2024年累计跌幅-3.35%、2025年累计跌幅-5.97%。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太原市地方政府债务余额分别为1,167.48亿元、1,422.98亿元、1,791.69亿元，2025年末债务限额1,811.51亿元，债务余额控制在限额以内；城投有息债务2025年末估算余额1,069.78亿元。债务率指标看，2025年末政府债务率173.98%、城投债务率103.88%、宽口径债务率277.86%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太原市财政基本盘较为扎实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