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忻州市信用评级报告(区域部分)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忻州经济总量列山西省第九位，人均GDP约5.15万元、人均经济实力在省内相对靠后，经济增速维持在3.00%左右、总体平稳；固定资产投资最新增速4.70%，经济运行总体平稳。【待补充：忻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忻州市2023、2024、2025年地区生产总值分别为1,445.60亿元、1,335.90亿元、1,330.40亿元，同比增长3.10%、-2.30%、3.00%。截至2025年末，全市常住人口256.50万人，人均GDP约5.15万元。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产业结构方面，2025年忻州市三次产业结构为8.8:37.3:53.9。【待补充：支柱产业、主要龙头企业、对外贸易等定性描述（数据库未覆盖）】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2023、2024、2025年固定资产投资增速分别为-9.00%、5.30%、4.70%，2025年社会消费品零售总额292.30亿元，进出口总额4.40亿美元。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太原市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5,382.45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0.9:28:71.1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552.61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吕梁市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4.24:54.52:41.24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长治市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307.50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7.9:40.9:51.2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2,462.60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6.1:39.7:54.2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3.2:55.4:41.4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2,248.00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16.4:32.3:51.3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6.6:31.4:62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忻州市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8.8:37.3:53.9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朔州市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7.5:38.4:54.1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2.1:41.1:56.8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128.02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忻州市2025年GDP总量1,330.40亿元、列全省第九位，一般公共预算收入148.17亿元、列全省第八位。整体来看，忻州市经济基本面在山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忻州市财政体量在山西省处于中游，税收占比63.24%、税收质量较好，但政府性基金收入总体平稳；2025年末宽口径债务率409.94%、处于偏高水平，已显著高于公认的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忻州市一般公共预算收入分别为147.67亿元、136.97亿元、148.17亿元，其中税收收入110.68亿元、91.91亿元、93.71亿元，税收占比维持在74.95%、67.10%、63.24%；一般公共预算支出455.75亿元、474.18亿元、469.38亿元，财政自给率32.40%、28.89%、31.57%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政府性基金收入方面，2023、2024、2025年分别为26.19亿元、22.05亿元、25.16亿元，政府性基金收入总体平稳，反映地方综合财力对房地产周期的敞口。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图表：2023-2025年忻州市财政收入情况(单位:亿元、%)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136.97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474.18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469.38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14.10%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资料来源:忻州市财政决算、企业预警通,风控信评部整理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土地市场方面，【待补充:忻州市土地出让与房地产销售数据（土地市场数据库未覆盖该市）】。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忻州市地方政府债务余额分别为487.39亿元、553.34亿元、631.96亿元，2025年末债务限额631.96亿元，债务余额控制在限额以内；城投有息债务2025年末估算余额83.34亿元。债务率指标看，2025年末政府债务率362.18%、城投债务率47.76%、宽口径债务率409.94%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忻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