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晋中市信用评级报告(区域部分)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晋中经济总量列山西省第五位，人均GDP约7.43万元、人均经济实力居全省中游，经济增速维持在4.50%左右、总体平稳；固定资产投资连续负增长（最新3.80%），经济运行总体平稳。【待补充：晋中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晋中市2023、2024、2025年地区生产总值分别为2,516.60亿元、2,445.50亿元、2,462.60亿元，同比增长4.50%、2.20%、4.50%。截至2025年末，全市常住人口329.45万人，人均GDP约7.43万元。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产业结构方面，2025年晋中市三次产业结构为6.1:39.7:54.2。【待补充：支柱产业、主要龙头企业、对外贸易等定性描述（数据库未覆盖）】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2023、2024、2025年固定资产投资增速分别为-19.00%、-1.00%、3.80%，2025年社会消费品零售总额768.70亿元，进出口总额8.74亿美元。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晋中市2025年GDP总量2,462.60亿元、列全省第五位，一般公共预算收入185.14亿元、列全省第五位。整体来看，晋中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晋中市财政体量在山西省处于中游，税收占比76.82%、税收质量较好，但政府性基金收入较2023年累计下降34%、土地财政贡献度弱化；2025年末宽口径债务率404.12%、处于偏高水平，已显著高于公认的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晋中市一般公共预算收入分别为194.57亿元、179.44亿元、185.14亿元，其中税收收入139.79亿元、127.63亿元、142.22亿元，税收占比维持在71.85%、71.13%、76.82%；一般公共预算支出439.50亿元、425.88亿元、403.78亿元，财政自给率44.27%、42.13%、45.85%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政府性基金收入方面，2023、2024、2025年分别为30.14亿元、35.00亿元、19.81亿元，政府性基金收入较2023年累计下降34%、土地财政贡献度弱化，反映地方综合财力对房地产周期的敞口。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图表：2023-2025年晋中市财政收入情况(单位:亿元、%)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179.44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-43.40%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资料来源:晋中市财政决算、企业预警通,风控信评部整理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土地市场方面，【待补充:晋中市土地出让与房地产销售数据（土地市场数据库未覆盖该市）】。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晋中市地方政府债务余额分别为545.12亿元、599.26亿元、716.80亿元，2025年末债务限额731.19亿元，债务余额控制在限额以内；城投有息债务2025年末估算余额116.93亿元。债务率指标看，2025年末政府债务率347.45%、城投债务率56.68%、宽口径债务率404.12%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晋中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