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晋城市信用评级报告(区域部分)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晋城经济总量列山西省第六位，人均GDP约11.28万元、人均经济实力居全省前列，经济增速由7.10%回落至6.30%、有所放缓；固定资产投资最新增速8.00%，经济运行总体平稳。【待补充：晋城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晋城市2023、2024、2025年地区生产总值分别为2,364.60亿元、2,396.40亿元、2,429.90亿元，同比增长7.10%、6.70%、6.30%。截至2025年末，全市常住人口215.00万人，人均GDP约11.28万元。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产业结构方面，2025年晋城市三次产业结构为3.2:55.4:41.4。【待补充：支柱产业、主要龙头企业、对外贸易等定性描述（数据库未覆盖）】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2023、2024、2025年固定资产投资增速分别为0.80%、7.30%、8.00%，2025年社会消费品零售总额636.50亿元，进出口总额6.07亿美元。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太原市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0.9:28:71.1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552.61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吕梁市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4.24:54.52:41.24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长治市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7.9:40.9:51.2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6.1:39.7:54.2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3.2:55.4:41.4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16.4:32.3:51.3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6.6:31.4:62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忻州市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8.8:37.3:53.9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朔州市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7.5:38.4:54.1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2.1:41.1:56.8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128.02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晋城市2025年GDP总量2,429.90亿元、列全省第六位，一般公共预算收入230.58亿元、列全省第三位。整体来看，晋城市经济基本面在山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晋城市财政体量在山西省位居前列，税收占比47.03%、税收占比处于一般水平，但政府性基金收入较2023年累计增长31%；2025年末宽口径债务率378.65%、处于偏高水平，已显著高于公认的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晋城市一般公共预算收入分别为277.19亿元、256.56亿元、230.58亿元，其中税收收入139.95亿元、124.50亿元、108.45亿元，税收占比维持在50.49%、48.53%、47.03%；一般公共预算支出431.24亿元、414.39亿元、392.05亿元，财政自给率64.28%、61.91%、58.81%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政府性基金收入方面，2023、2024、2025年分别为30.92亿元、26.52亿元、40.64亿元，政府性基金收入较2023年累计增长31%，反映地方综合财力对房地产周期的敞口。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图表：2023-2025年晋城市财政收入情况(单位:亿元、%)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-12.89%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53.24%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资料来源:晋城市财政决算、企业预警通,风控信评部整理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土地市场方面，【待补充:晋城市土地出让与房地产销售数据（土地市场数据库未覆盖该市）】。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晋城市地方政府债务余额分别为350.67亿元、411.92亿元、502.83亿元，2025年末债务限额502.83亿元，债务余额控制在限额以内；城投有息债务2025年末估算余额527.93亿元。债务率指标看，2025年末政府债务率184.72%、城投债务率193.94%、宽口径债务率378.65%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晋城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