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朔州市信用评级报告(区域部分)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朔州经济总量列山西省第十位，人均GDP约8.35万元、人均经济实力居全省前列，经济增速由4.70%回落至2.80%、有所放缓；固定资产投资最新增速转负（-2.60%），经济动能仍有待修复。【待补充：朔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朔州市2023、2024、2025年地区生产总值分别为1,539.37亿元、1,328.54亿元、1,303.70亿元，同比增长4.70%、-0.50%、2.80%。截至2025年末，全市常住人口156.10万人，人均GDP约8.35万元（按当年GDP与常住人口估算）。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产业结构方面，2025年朔州市三次产业结构为7.5:38.4:54.1。【待补充：支柱产业、主要龙头企业、对外贸易等定性描述（数据库未覆盖）】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2023、2024、2025年固定资产投资增速分别为1.60%、3.20%、-2.60%，2025年社会消费品零售总额246.30亿元，进出口总额1.15亿美元。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太原市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5,382.45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0.9:28:71.1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443.07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552.61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吕梁市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2,575.02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4.24:54.52:41.24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328.08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长治市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307.50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7.9:40.9:51.2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383.14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2,462.60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6.1:39.7:54.2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329.45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3.2:55.4:41.4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2,248.00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16.4:32.3:51.3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463.23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1,815.00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6.6:31.4:62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304.43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忻州市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1,330.40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8.8:37.3:53.9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256.50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朔州市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7.5:38.4:54.1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2.1:41.1:56.8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128.02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朔州市2025年GDP总量1,303.70亿元、列全省第十位，一般公共预算收入123.72亿元、列全省第九位。整体来看，朔州市经济基本面在山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朔州市财政体量在山西省处于中游，税收占比86.22%、税收质量较好，但政府性基金收入较2023年累计下降20%、土地财政贡献度弱化；2025年末宽口径债务率256.41%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朔州市一般公共预算收入分别为150.31亿元、131.36亿元、123.72亿元，其中税收收入129.62亿元、113.42亿元、106.67亿元，税收占比维持在86.24%、86.34%、86.22%；一般公共预算支出292.47亿元、261.46亿元、246.85亿元，财政自给率51.39%、50.24%、50.12%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政府性基金收入方面，2023、2024、2025年分别为24.74亿元、22.10亿元、19.74亿元，政府性基金收入较2023年累计下降20%、土地财政贡献度弱化，反映地方综合财力对房地产周期的敞口。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图表：2023-2025年朔州市财政收入情况(单位:亿元、%)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-5.82%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129.62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-5.95%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246.85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-5.59%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-10.68%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资料来源:朔州市财政决算、企业预警通,风控信评部整理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土地市场方面，【待补充:朔州市土地出让与房地产销售数据（土地市场数据库未覆盖该市）】。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朔州市地方政府债务余额分别为273.71亿元、305.42亿元、354.58亿元，2025年末债务限额354.58亿元，债务余额控制在限额以内；城投有息债务2025年末估算余额15.17亿元。债务率指标看，2025年末政府债务率245.89%、城投债务率10.52%、宽口径债务率256.41%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朔州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