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运城市信用评级报告(区域部分)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运城经济总量列山西省第七位，人均GDP约4.85万元、人均经济实力在省内相对靠后，经济增速由5.50%回升至6.00%、动能边际改善；固定资产投资最新增速6.10%，经济运行总体平稳。【待补充：运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运城市2023、2024、2025年地区生产总值分别为2,187.70亿元、2,178.50亿元、2,248.00亿元，同比增长5.50%、3.40%、6.00%。截至2025年末，全市常住人口463.23万人，人均GDP约4.85万元（按当年GDP与常住人口估算）。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产业结构方面，2025年运城市三次产业结构为16.4:32.3:51.3。【待补充：支柱产业、主要龙头企业、对外贸易等定性描述（数据库未覆盖）】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2023、2024、2025年固定资产投资增速分别为2.60%、0.20%、6.10%，2025年社会消费品零售总额824.50亿元。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图表：2025年山西省各地级市主要经济指标对比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太原市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5,382.45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0.9:28:71.1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443.07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552.61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吕梁市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2,575.02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4.24:54.52:41.24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328.08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长治市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307.50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7.9:40.9:51.2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383.14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6.1:39.7:54.2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329.45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晋城市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3.2:55.4:41.4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230.58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2,248.00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16.4:32.3:51.3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463.23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6.6:31.4:62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304.43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忻州市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8.8:37.3:53.9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朔州市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7.5:38.4:54.1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123.72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阳泉市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2.1:41.1:56.8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128.02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运城市2025年GDP总量2,248.00亿元、列全省第七位，一般公共预算收入115.07亿元、列全省第十位。整体来看，运城市经济基本面在山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运城市财政体量在山西省处于中游，税收占比75.75%、税收质量较好，但政府性基金收入较2023年累计下降24%、土地财政贡献度弱化；2025年末宽口径债务率506.24%、处于偏高水平，已显著高于公认的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运城市一般公共预算收入分别为124.64亿元、113.55亿元、115.07亿元，其中税收收入83.01亿元、73.50亿元、87.17亿元，税收占比维持在66.60%、64.73%、75.75%；一般公共预算支出519.17亿元、535.16亿元、511.25亿元，财政自给率24.01%、21.22%、22.51%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政府性基金收入方面，2023、2024、2025年分别为47.07亿元、35.58亿元、35.95亿元，政府性基金收入较2023年累计下降24%、土地财政贡献度弱化，反映地方综合财力对房地产周期的敞口。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图表：2023-2025年运城市财政收入情况(单位:亿元、%)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124.64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113.55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115.07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519.17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535.16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511.25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-4.47%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-24.41%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资料来源:运城市财政决算、企业预警通,风控信评部整理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土地市场方面，【待补充:运城市土地出让与房地产销售数据（土地市场数据库未覆盖该市）】。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运城市地方政府债务余额分别为421.55亿元、508.72亿元、614.96亿元，2025年末债务限额622.38亿元，债务余额控制在限额以内；城投有息债务2025年末估算余额153.08亿元。债务率指标看，2025年末政府债务率405.34%、城投债务率100.90%、宽口径债务率506.24%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运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