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长治市信用评级报告(区域部分)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治经济总量列山西省第三位，人均GDP约8.32万元、人均经济实力居全省中游，经济增速由5.60%回落至4.30%、有所放缓；固定资产投资最新增速0.50%，经济运行总体平稳。【待补充：长治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长治市2023、2024、2025年地区生产总值分别为2,683.40亿元、2,579.00亿元、2,558.30亿元，同比增长5.60%、2.50%、4.30%。截至2025年末，全市常住人口307.50万人，人均GDP约8.32万元（按当年GDP与常住人口估算）。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产业结构方面，2025年长治市三次产业结构为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2023、2024、2025年固定资产投资增速分别为1.60%、6.10%、0.50%，2025年社会消费品零售总额672.10亿元，进出口总额2.25亿美元。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长治市2025年GDP总量2,558.30亿元、列全省第三位，一般公共预算收入215.70亿元、列全省第四位。整体来看，长治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长治市财政体量在山西省处于中游，税收占比69.21%、税收质量较好，但政府性基金收入较2023年累计下降25%、土地财政贡献度弱化；2025年末宽口径债务率103.93%、处于可控水平，整体处于可控水平。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长治市一般公共预算收入分别为315.08亿元、284.73亿元、215.70亿元，其中税收收入237.55亿元、182.07亿元、149.28亿元，税收占比维持在75.40%、63.95%、69.21%；一般公共预算支出572.62亿元、551.12亿元、493.97亿元，财政自给率55.02%、51.66%、43.67%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政府性基金收入方面，2023、2024、2025年分别为55.27亿元、39.13亿元、41.53亿元，政府性基金收入较2023年累计下降25%、土地财政贡献度弱化，反映地方综合财力对房地产周期的敞口。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图表：2023-2025年长治市财政收入情况(单位:亿元、%)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572.62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551.12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-10.37%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资料来源:长治市财政决算、企业预警通,风控信评部整理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土地市场方面，【待补充:长治市土地出让与房地产销售数据（土地市场数据库未覆盖该市）】。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长治市地方政府债务余额分别为423.84亿元、477.15亿元、565.90亿元，2025年末债务限额565.90亿元，债务余额控制在限额以内；城投有息债务2025年末估算余额107.23亿元。债务率指标看，2025年末政府债务率87.37%、城投债务率16.56%、宽口径债务率103.93%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长治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