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阳泉市信用评级报告(区域部分)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阳泉经济总量列山西省第11位，人均GDP约6.79万元、人均经济实力居全省中游，经济增速由3.10%回升至4.40%、动能边际改善；固定资产投资连续负增长（最新7.00%），经济运行总体平稳。【待补充：阳泉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阳泉市2023、2024、2025年地区生产总值分别为904.40亿元、851.50亿元、870.60亿元，同比增长3.10%、-0.90%、4.40%。截至2025年末，全市常住人口128.02万人，人均GDP约6.79万元。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产业结构方面，2025年阳泉市三次产业结构为2.1:41.1:56.8。【待补充：支柱产业、主要龙头企业、对外贸易等定性描述（数据库未覆盖）】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2023、2024、2025年固定资产投资增速分别为-11.30%、-14.20%、7.00%，2025年社会消费品零售总额204.53亿元，进出口总额3.65亿美元。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图表：2025年山西省各地级市主要经济指标对比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太原市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5,382.45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0.9:28:71.1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552.61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吕梁市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2,575.02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4.24:54.52:41.24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328.08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长治市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307.50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临汾市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2,513.80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7.9:40.9:51.2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162.79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383.14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2,462.60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6.1:39.7:54.2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185.14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329.45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晋城市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2,429.90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11.28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3.2:55.4:41.4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230.58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运城市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2,248.00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16.4:32.3:51.3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463.23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1,815.00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6.6:31.4:62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304.43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忻州市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1,330.40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8.8:37.3:53.9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148.17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256.50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朔州市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1,303.70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7.5:38.4:54.1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156.10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6.79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2.1:41.1:56.8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128.02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阳泉市2025年GDP总量870.60亿元、列全省第11位，一般公共预算收入73.17亿元、列全省第11位。整体来看，阳泉市经济基本面在山西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阳泉市财政体量在山西省处于中游，税收占比65.02%、税收质量较好，但政府性基金收入较2023年累计下降41%、土地财政贡献度弱化；2025年末宽口径债务率224.77%、处于中等偏高水平，处于相对偏高区间，需关注债务扩张节奏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阳泉市一般公共预算收入分别为83.07亿元、74.71亿元、73.17亿元，其中税收收入60.44亿元、52.12亿元、47.57亿元，税收占比维持在72.75%、69.76%、65.02%；一般公共预算支出168.21亿元、168.38亿元、168.24亿元，财政自给率49.39%、44.37%、43.49%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政府性基金收入方面，2023、2024、2025年分别为23.86亿元、15.66亿元、14.02亿元，政府性基金收入较2023年累计下降41%、土地财政贡献度弱化，反映地方综合财力对房地产周期的敞口。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图表：2023-2025年阳泉市财政收入情况(单位:亿元、%)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74.71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-2.06%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-13.77%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-8.73%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69.76%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168.21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168.24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-0.08%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49.39%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43.49%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-34.37%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-10.47%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资料来源:阳泉市财政决算、企业预警通,风控信评部整理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土地市场方面，【待补充:阳泉市土地出让与房地产销售数据（土地市场数据库未覆盖该市）】。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阳泉市地方政府债务余额分别为313.71亿元、343.99亿元、405.10亿元，2025年末债务限额—亿元，债务余额控制在限额以内；城投有息债务2025年末估算余额—亿元。债务率指标看，2025年末政府债务率224.77%、城投债务率—、宽口径债务率224.77%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阳泉市财政基本盘总体稳健，但土地财政收缩与债务规模扩张是当前主要压力线；我们预计宽口径债务率短期内将维持中等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