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东莞市信用评级报告(区域部分)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东莞经济总量列广东省第四位，人均GDP约11.94万元、人均经济实力居全省前列，经济增速由2.87%回升至4.00%、动能边际改善；固定资产投资最新增速1.30%，经济运行总体平稳。【待补充：东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东莞市2023、2024、2025年地区生产总值分别为11,869.83亿元、12,348.61亿元、12,760.20亿元，同比增长2.87%、4.70%、4.00%。截至2025年末，全市常住人口1080.04万人，人均GDP约11.94万元。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产业结构方面，2025年东莞市三次产业结构为0.3:56.1:43.6。【待补充：支柱产业、主要龙头企业、对外贸易等定性描述（数据库未覆盖）】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2023、2024、2025年固定资产投资增速分别为2.70%、-6.86%、1.30%，2025年社会消费品零售总额4,446.00亿元，进出口总额2,211.19亿美元。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东莞市2025年GDP总量12,760.20亿元、列全省第四位，一般公共预算收入891.73亿元、列全省第三位。整体来看，东莞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东莞市财政体量在广东省位居前列，税收占比72.86%、税收质量较好，但政府性基金收入较2023年累计下降63%、土地财政贡献度弱化；2025年末宽口径债务率359.48%、处于偏高水平，已显著高于公认的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东莞市一般公共预算收入分别为805.09亿元、789.43亿元、891.73亿元，其中税收收入605.40亿元、565.40亿元、649.68亿元，税收占比维持在75.20%、71.62%、72.86%；一般公共预算支出905.85亿元、912.17亿元、915.60亿元，财政自给率88.88%、86.54%、97.39%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政府性基金收入方面，2023、2024、2025年分别为377.81亿元、163.98亿元、138.49亿元，政府性基金收入较2023年累计下降63%、土地财政贡献度弱化，反映地方综合财力对房地产周期的敞口。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图表：2023-2025年东莞市财政收入情况(单位:亿元、%)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805.09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789.43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12.96%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649.68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905.85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377.81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163.98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-15.54%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资料来源:东莞市财政决算、企业预警通,风控信评部整理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东莞市经营性用地成交价分别为654.86亿元、421.78亿元、141.03亿元、89.25亿元、85.53亿元，2025年较2021年下降86.94%；同期平均溢价率为20.05%、3.18%、7.25%、0.18%、6.25%；成交楼面均价由4,292元/㎡降至1,218元/㎡、累计下降71.62%。2026年1-4月，东莞市经营性用地累计成交40宗、规划建面457.59万㎡、成交价42.88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图表:2021-2025年东莞市土地出让情况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1,525.88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654.86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1,331.49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3,168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421.78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1,714.24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141.03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1,564.64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89.25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702.03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1,218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85.53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457.59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42.88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东莞市商品住宅成交面积由478.22万㎡变动至182.00万㎡、累计下降61.9%；新房均价2025年为20,293元/㎡、较2023年高点(32,790元/㎡)累计下跌38.11%；2025年去化周期24.59个月。据中指冰山指数(最低挂牌价口径)，东莞二手房挂牌价较2021年5月高点累计下跌51.58%，2023年累计跌幅-14.33%、2024年累计跌幅-21.66%、2025年累计跌幅-14.50%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东莞市地方政府债务余额分别为1,622.65亿元、1,989.59亿元、2,358.28亿元，2025年末债务限额2,366.52亿元，债务余额控制在限额以内；城投有息债务2025年末估算余额1,381.28亿元。债务率指标看，2025年末政府债务率226.70%、城投债务率132.78%、宽口径债务率359.48%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东莞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