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中山市信用评级报告(区域部分)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中山经济总量列广东省第八位，人均GDP约—万元、人均经济实力居省内中游，经济增速由5.94%回落至3.80%、有所放缓；固定资产投资连续负增长（最新-22.60%），经济动能仍有待修复。【待补充：中山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中山市2023、2024、2025年地区生产总值分别为4,020.39亿元、4,132.93亿元、4,260.56亿元，同比增长5.94%、3.70%、3.80%。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产业结构方面，2025年中山市三次产业结构为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2023、2024、2025年固定资产投资增速分别为1.80%、-2.62%、-22.60%，2025年社会消费品零售总额1,604.29亿元，进出口总额401.31亿美元。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深圳市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38,731.80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0.1:37.4:62.5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4,163.77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1824.85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32,039.46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0.99:24.06:74.95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1910.10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佛山市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13,157.35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1.9:49.6:48.5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12,760.20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0.3:56.1:43.6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1080.04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6,363.66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5.24:53.18:41.58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619.30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珠海市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4,573.10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江门市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4,293.91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4,260.56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茂名市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4,106.40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18.1:27.3:54.5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626.46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湛江市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3,952.94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18.6:32.6:48.8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712.29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3,023.83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4.7:37.6:57.7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557.69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肇庆市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2,974.84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揭阳市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9.7:35:55.3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568.72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清远市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韶关市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15.2:31.1:53.7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1,671.22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262.86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梅州市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1,583.23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17.9:29.7:52.4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1,546.30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潮州市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9.8:44.5:45.7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1,434.57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13.3:33.7:53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281.42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云浮市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18.1:26.3:55.6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238.96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中山市2025年GDP总量4,260.56亿元、列全省第八位，一般公共预算收入380.01亿元、列全省第七位。整体来看，中山市经济基本面在广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中山市财政体量在广东省处于中游，税收占比60.31%、税收质量较好，但政府性基金收入较2023年累计下降31%、土地财政贡献度弱化；2025年末宽口径债务率429.67%、处于偏高水平，已显著高于公认的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中山市一般公共预算收入分别为332.98亿元、342.52亿元、380.01亿元，其中税收收入209.70亿元、197.81亿元、229.20亿元，税收占比维持在62.98%、57.75%、60.31%；一般公共预算支出465.87亿元、422.59亿元、441.89亿元，财政自给率71.48%、81.05%、86.00%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政府性基金收入方面，2023、2024、2025年分别为115.81亿元、50.88亿元、80.40亿元，政府性基金收入较2023年累计下降31%、土地财政贡献度弱化，反映地方综合财力对房地产周期的敞口。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图表：2023-2025年中山市财政收入情况(单位:亿元、%)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197.81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15.87%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465.87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422.59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441.89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-56.07%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58.02%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资料来源:中山市财政决算、企业预警通,风控信评部整理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土地市场方面，【待补充:中山市土地出让与房地产销售数据（土地市场数据库未覆盖该市）】。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中山市地方政府债务余额分别为876.34亿元、1,095.74亿元、1,326.99亿元，2025年末债务限额1,329.78亿元，债务余额控制在限额以内；城投有息债务2025年末估算余额663.73亿元。债务率指标看，2025年末政府债务率286.42%、城投债务率143.26%、宽口径债务率429.67%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中山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