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佛山市信用评级报告(区域部分)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佛山经济总量列广东省第三位，人均GDP约—万元、人均经济实力居省内中游，经济增速由5.06%回落至0.20%、有所放缓；固定资产投资连续负增长（最新-16.00%），经济动能仍有待修复。【待补充：佛山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佛山市2023、2024、2025年地区生产总值分别为13,323.77亿元、13,230.18亿元、13,157.35亿元，同比增长5.06%、1.10%、0.20%。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产业结构方面，2025年佛山市三次产业结构为1.9:49.6:48.5。【待补充：支柱产业、主要龙头企业、对外贸易等定性描述（数据库未覆盖）】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2023、2024、2025年固定资产投资增速分别为-9.90%、-6.90%、-16.00%，2025年社会消费品零售总额3,945.94亿元，进出口总额673.90亿美元。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佛山市2025年GDP总量13,157.35亿元、列全省第三位，一般公共预算收入800.27亿元、列全省第四位。整体来看，佛山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佛山市财政体量在广东省处于中游，税收占比—、税收占比处于一般水平，但政府性基金收入较2023年累计下降21%、土地财政贡献度弱化；2025年末宽口径债务率525.79%、处于偏高水平，已显著高于公认的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佛山市一般公共预算收入分别为800.77亿元、767.08亿元、800.27亿元，其中税收收入464.26亿元、439.05亿元、—亿元，税收占比维持在57.98%、57.24%、—；一般公共预算支出982.86亿元、919.99亿元、920.81亿元，财政自给率81.47%、83.38%、86.91%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政府性基金收入方面，2023、2024、2025年分别为477.03亿元、492.77亿元、376.06亿元，政府性基金收入较2023年累计下降21%、土地财政贡献度弱化，反映地方综合财力对房地产周期的敞口。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图表：2023-2025年佛山市财政收入情况(单位:亿元、%)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464.26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982.86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919.99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-23.68%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资料来源:佛山市财政决算、企业预警通,风控信评部整理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佛山市经营性用地成交价分别为937.48亿元、421.35亿元、439.23亿元、375.15亿元、356.51亿元，2025年较2021年下降61.97%；同期平均溢价率为16.59%、0.82%、5.97%、0.37%、2.18%；成交楼面均价由3,641元/㎡降至1,027元/㎡、累计下降71.79%。2026年1-4月，佛山市经营性用地累计成交80宗、规划建面737.37万㎡、成交价45.62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图表:2021-2025年佛山市土地出让情况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2,574.83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3,641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937.48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3,333.37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1,264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421.35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3,286.30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439.23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3,234.00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375.15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3,440.36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1,027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356.51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737.37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45.62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佛山市商品住宅成交面积由1,121.23万㎡变动至384.97万㎡、累计下降65.7%；新房均价2025年为16,192元/㎡、较2023年高点(19,565元/㎡)累计下跌17.24%；2025年去化周期17.38个月。据中指冰山指数(最低挂牌价口径)，佛山二手房挂牌价较2018年7月高点累计下跌37.80%，2023年累计跌幅-7.59%、2024年累计跌幅-14.02%、2025年累计跌幅-13.23%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佛山市地方政府债务余额分别为2,750.72亿元、3,136.77亿元、3,573.69亿元，2025年末债务限额3,592.60亿元，债务余额控制在限额以内；城投有息债务2025年末估算余额2,631.75亿元。债务率指标看，2025年末政府债务率302.80%、城投债务率222.99%、宽口径债务率525.79%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佛山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